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855B7E" w14:textId="77777777" w:rsidR="00083096" w:rsidRPr="00083096" w:rsidRDefault="00083096" w:rsidP="002205E1">
      <w:pPr>
        <w:jc w:val="left"/>
      </w:pPr>
      <w:bookmarkStart w:id="0" w:name="_GoBack"/>
      <w:bookmarkEnd w:id="0"/>
    </w:p>
    <w:p w14:paraId="7513EA9B" w14:textId="0C6F32E4" w:rsidR="00CA5A5D" w:rsidRPr="00593FED" w:rsidRDefault="00116320" w:rsidP="002205E1">
      <w:pPr>
        <w:pStyle w:val="Title"/>
        <w:jc w:val="left"/>
        <w:rPr>
          <w:rFonts w:ascii="Times New Roman" w:hAnsi="Times New Roman" w:cs="Times New Roman"/>
          <w:sz w:val="72"/>
        </w:rPr>
      </w:pPr>
      <w:r>
        <w:rPr>
          <w:rFonts w:ascii="Times New Roman" w:hAnsi="Times New Roman" w:cs="Times New Roman"/>
          <w:sz w:val="72"/>
        </w:rPr>
        <w:t>Visie op het onderwijs</w:t>
      </w:r>
      <w:r>
        <w:rPr>
          <w:rFonts w:ascii="Times New Roman" w:hAnsi="Times New Roman" w:cs="Times New Roman"/>
          <w:sz w:val="72"/>
        </w:rPr>
        <w:br/>
      </w:r>
      <w:r w:rsidR="00CA5A5D">
        <w:rPr>
          <w:rFonts w:ascii="Times New Roman" w:hAnsi="Times New Roman" w:cs="Times New Roman"/>
          <w:sz w:val="72"/>
        </w:rPr>
        <w:t>van de opleiding</w:t>
      </w:r>
      <w:r>
        <w:rPr>
          <w:rFonts w:ascii="Times New Roman" w:hAnsi="Times New Roman" w:cs="Times New Roman"/>
          <w:sz w:val="72"/>
        </w:rPr>
        <w:br/>
      </w:r>
      <w:r w:rsidR="00CA5A5D">
        <w:rPr>
          <w:rFonts w:ascii="Times New Roman" w:hAnsi="Times New Roman" w:cs="Times New Roman"/>
          <w:sz w:val="72"/>
        </w:rPr>
        <w:t>Klinische T</w:t>
      </w:r>
      <w:r w:rsidR="00CA5A5D" w:rsidRPr="00593FED">
        <w:rPr>
          <w:rFonts w:ascii="Times New Roman" w:hAnsi="Times New Roman" w:cs="Times New Roman"/>
          <w:sz w:val="72"/>
        </w:rPr>
        <w:t>echnologie</w:t>
      </w:r>
      <w:bookmarkStart w:id="1" w:name="_Toc373142816"/>
      <w:bookmarkStart w:id="2" w:name="_Toc373145653"/>
    </w:p>
    <w:p w14:paraId="181C23A3" w14:textId="77777777" w:rsidR="00CA5A5D" w:rsidRPr="00593FED" w:rsidRDefault="00CA5A5D" w:rsidP="002205E1">
      <w:pPr>
        <w:pStyle w:val="Subtitle"/>
        <w:tabs>
          <w:tab w:val="left" w:pos="2411"/>
        </w:tabs>
        <w:jc w:val="left"/>
        <w:rPr>
          <w:rFonts w:ascii="Times New Roman" w:hAnsi="Times New Roman" w:cs="Times New Roman"/>
        </w:rPr>
      </w:pPr>
      <w:r w:rsidRPr="00593FED">
        <w:rPr>
          <w:rFonts w:ascii="Times New Roman" w:hAnsi="Times New Roman" w:cs="Times New Roman"/>
        </w:rPr>
        <w:tab/>
      </w:r>
    </w:p>
    <w:p w14:paraId="0A8FEA47" w14:textId="77777777" w:rsidR="00CA5A5D" w:rsidRPr="00593FED" w:rsidRDefault="00CA5A5D" w:rsidP="002205E1">
      <w:pPr>
        <w:pStyle w:val="Subtitle"/>
        <w:jc w:val="left"/>
        <w:rPr>
          <w:rFonts w:ascii="Times New Roman" w:hAnsi="Times New Roman" w:cs="Times New Roman"/>
        </w:rPr>
      </w:pPr>
      <w:r w:rsidRPr="00593FED">
        <w:rPr>
          <w:rFonts w:ascii="Times New Roman" w:hAnsi="Times New Roman" w:cs="Times New Roman"/>
        </w:rPr>
        <w:t>Samenwerkende universiteiten</w:t>
      </w:r>
      <w:bookmarkEnd w:id="1"/>
      <w:bookmarkEnd w:id="2"/>
      <w:r w:rsidRPr="00593FED">
        <w:rPr>
          <w:rFonts w:ascii="Times New Roman" w:hAnsi="Times New Roman" w:cs="Times New Roman"/>
        </w:rPr>
        <w:t xml:space="preserve"> </w:t>
      </w:r>
      <w:r w:rsidRPr="00593FED">
        <w:rPr>
          <w:rFonts w:ascii="Times New Roman" w:hAnsi="Times New Roman" w:cs="Times New Roman"/>
        </w:rPr>
        <w:br/>
      </w:r>
      <w:r w:rsidRPr="00593FED">
        <w:rPr>
          <w:rFonts w:ascii="Times New Roman" w:hAnsi="Times New Roman" w:cs="Times New Roman"/>
          <w:i w:val="0"/>
          <w:sz w:val="16"/>
          <w:szCs w:val="16"/>
        </w:rPr>
        <w:t>Hierna te noemen, de faculteiten</w:t>
      </w:r>
    </w:p>
    <w:p w14:paraId="4E1B52E6" w14:textId="77777777" w:rsidR="00CA5A5D" w:rsidRPr="00593FED" w:rsidRDefault="00CA5A5D" w:rsidP="002205E1">
      <w:pPr>
        <w:pStyle w:val="ListParagraph"/>
        <w:numPr>
          <w:ilvl w:val="0"/>
          <w:numId w:val="31"/>
        </w:numPr>
        <w:jc w:val="left"/>
        <w:rPr>
          <w:rFonts w:ascii="Times New Roman" w:hAnsi="Times New Roman" w:cs="Times New Roman"/>
        </w:rPr>
      </w:pPr>
      <w:r w:rsidRPr="00593FED">
        <w:rPr>
          <w:rFonts w:ascii="Times New Roman" w:hAnsi="Times New Roman" w:cs="Times New Roman"/>
        </w:rPr>
        <w:t>Technische Universiteit Delft, Faculteit 3mE [penvoerder]</w:t>
      </w:r>
    </w:p>
    <w:p w14:paraId="094828BC" w14:textId="77777777" w:rsidR="00CA5A5D" w:rsidRPr="00593FED" w:rsidRDefault="00CA5A5D" w:rsidP="002205E1">
      <w:pPr>
        <w:pStyle w:val="ListParagraph"/>
        <w:numPr>
          <w:ilvl w:val="0"/>
          <w:numId w:val="31"/>
        </w:numPr>
        <w:jc w:val="left"/>
        <w:rPr>
          <w:rFonts w:ascii="Times New Roman" w:hAnsi="Times New Roman" w:cs="Times New Roman"/>
        </w:rPr>
      </w:pPr>
      <w:r w:rsidRPr="00593FED">
        <w:rPr>
          <w:rFonts w:ascii="Times New Roman" w:hAnsi="Times New Roman" w:cs="Times New Roman"/>
        </w:rPr>
        <w:t>Universiteit Leiden, Faculteit LUMC</w:t>
      </w:r>
    </w:p>
    <w:p w14:paraId="304F6C58" w14:textId="77777777" w:rsidR="00CA5A5D" w:rsidRPr="00593FED" w:rsidRDefault="00CA5A5D" w:rsidP="002205E1">
      <w:pPr>
        <w:pStyle w:val="ListParagraph"/>
        <w:numPr>
          <w:ilvl w:val="0"/>
          <w:numId w:val="31"/>
        </w:numPr>
        <w:jc w:val="left"/>
        <w:rPr>
          <w:rFonts w:ascii="Times New Roman" w:hAnsi="Times New Roman" w:cs="Times New Roman"/>
        </w:rPr>
      </w:pPr>
      <w:r w:rsidRPr="00593FED">
        <w:rPr>
          <w:rFonts w:ascii="Times New Roman" w:hAnsi="Times New Roman" w:cs="Times New Roman"/>
        </w:rPr>
        <w:t>Erasmus Universiteit Rotterdam, Faculteit EMC</w:t>
      </w:r>
    </w:p>
    <w:p w14:paraId="71FC40B6" w14:textId="77777777" w:rsidR="00CA5A5D" w:rsidRPr="00593FED" w:rsidRDefault="00CA5A5D" w:rsidP="005072E3">
      <w:pPr>
        <w:ind w:left="360"/>
        <w:rPr>
          <w:rFonts w:ascii="Times New Roman" w:hAnsi="Times New Roman" w:cs="Times New Roman"/>
          <w:i/>
        </w:rPr>
      </w:pPr>
      <w:r w:rsidRPr="00593FED">
        <w:rPr>
          <w:rFonts w:ascii="Times New Roman" w:hAnsi="Times New Roman" w:cs="Times New Roman"/>
          <w:i/>
        </w:rPr>
        <w:t>.</w:t>
      </w:r>
    </w:p>
    <w:p w14:paraId="754B70AA" w14:textId="77777777" w:rsidR="00CA5A5D" w:rsidRPr="00593FED" w:rsidRDefault="00CA5A5D" w:rsidP="005072E3">
      <w:pPr>
        <w:ind w:left="360"/>
        <w:rPr>
          <w:rFonts w:ascii="Times New Roman" w:hAnsi="Times New Roman" w:cs="Times New Roman"/>
          <w:i/>
        </w:rPr>
      </w:pPr>
    </w:p>
    <w:p w14:paraId="6A2E0EFC" w14:textId="77777777" w:rsidR="00CA5A5D" w:rsidRPr="00593FED" w:rsidRDefault="00CA5A5D" w:rsidP="005072E3">
      <w:pPr>
        <w:ind w:left="360"/>
        <w:rPr>
          <w:rFonts w:ascii="Times New Roman" w:hAnsi="Times New Roman" w:cs="Times New Roman"/>
          <w:i/>
        </w:rPr>
      </w:pPr>
    </w:p>
    <w:p w14:paraId="0401C2AD" w14:textId="77777777" w:rsidR="00CA5A5D" w:rsidRPr="00593FED" w:rsidRDefault="00CA5A5D" w:rsidP="005072E3">
      <w:pPr>
        <w:ind w:left="360"/>
        <w:rPr>
          <w:rFonts w:ascii="Times New Roman" w:hAnsi="Times New Roman" w:cs="Times New Roman"/>
          <w:i/>
        </w:rPr>
      </w:pPr>
    </w:p>
    <w:p w14:paraId="52961441" w14:textId="77777777" w:rsidR="00CA5A5D" w:rsidRPr="00593FED" w:rsidRDefault="00CA5A5D" w:rsidP="005072E3">
      <w:pPr>
        <w:ind w:left="360"/>
        <w:rPr>
          <w:rFonts w:ascii="Times New Roman" w:hAnsi="Times New Roman" w:cs="Times New Roman"/>
          <w:i/>
        </w:rPr>
      </w:pPr>
    </w:p>
    <w:p w14:paraId="6293DE4C" w14:textId="77777777" w:rsidR="00CA5A5D" w:rsidRPr="00593FED" w:rsidRDefault="00CA5A5D" w:rsidP="005072E3">
      <w:pPr>
        <w:ind w:left="360"/>
        <w:rPr>
          <w:rFonts w:ascii="Times New Roman" w:hAnsi="Times New Roman" w:cs="Times New Roman"/>
          <w:i/>
        </w:rPr>
      </w:pPr>
    </w:p>
    <w:p w14:paraId="5DC3FDE6" w14:textId="77777777" w:rsidR="00CA5A5D" w:rsidRPr="00593FED" w:rsidRDefault="00CA5A5D" w:rsidP="005072E3">
      <w:pPr>
        <w:ind w:left="360"/>
        <w:rPr>
          <w:rFonts w:ascii="Times New Roman" w:hAnsi="Times New Roman" w:cs="Times New Roman"/>
          <w:i/>
        </w:rPr>
      </w:pPr>
    </w:p>
    <w:p w14:paraId="42F036CC" w14:textId="77777777" w:rsidR="00CA5A5D" w:rsidRPr="00593FED" w:rsidRDefault="00CA5A5D" w:rsidP="005072E3">
      <w:pPr>
        <w:ind w:left="360"/>
        <w:rPr>
          <w:rFonts w:ascii="Times New Roman" w:hAnsi="Times New Roman" w:cs="Times New Roman"/>
          <w:i/>
        </w:rPr>
      </w:pPr>
    </w:p>
    <w:p w14:paraId="14730C93" w14:textId="77777777" w:rsidR="00CA5A5D" w:rsidRPr="00593FED" w:rsidRDefault="00CA5A5D" w:rsidP="005072E3">
      <w:pPr>
        <w:ind w:left="360"/>
        <w:rPr>
          <w:rFonts w:ascii="Times New Roman" w:hAnsi="Times New Roman" w:cs="Times New Roman"/>
          <w:i/>
        </w:rPr>
      </w:pPr>
    </w:p>
    <w:p w14:paraId="1CB61C6D" w14:textId="77777777" w:rsidR="00CA5A5D" w:rsidRPr="00593FED" w:rsidRDefault="00CA5A5D" w:rsidP="005072E3">
      <w:pPr>
        <w:rPr>
          <w:rFonts w:ascii="Times New Roman" w:hAnsi="Times New Roman" w:cs="Times New Roman"/>
        </w:rPr>
      </w:pPr>
    </w:p>
    <w:p w14:paraId="116D3DD8" w14:textId="77777777" w:rsidR="00083096" w:rsidRPr="00083096" w:rsidRDefault="00083096" w:rsidP="005072E3">
      <w:pPr>
        <w:rPr>
          <w:b/>
        </w:rPr>
      </w:pPr>
    </w:p>
    <w:p w14:paraId="26EA3C72" w14:textId="77777777" w:rsidR="00083096" w:rsidRPr="00083096" w:rsidRDefault="00083096" w:rsidP="005072E3">
      <w:pPr>
        <w:rPr>
          <w:b/>
        </w:rPr>
      </w:pPr>
    </w:p>
    <w:p w14:paraId="031DA501" w14:textId="77777777" w:rsidR="00083096" w:rsidRPr="00083096" w:rsidRDefault="00083096" w:rsidP="005072E3">
      <w:pPr>
        <w:rPr>
          <w:b/>
        </w:rPr>
      </w:pPr>
    </w:p>
    <w:p w14:paraId="234FC4B2" w14:textId="77777777" w:rsidR="00083096" w:rsidRPr="00083096" w:rsidRDefault="00083096" w:rsidP="005072E3">
      <w:pPr>
        <w:rPr>
          <w:b/>
        </w:rPr>
      </w:pPr>
    </w:p>
    <w:p w14:paraId="4639B662" w14:textId="77777777" w:rsidR="008C0ED9" w:rsidRDefault="008C0ED9" w:rsidP="005072E3">
      <w:pPr>
        <w:rPr>
          <w:rFonts w:asciiTheme="majorHAnsi" w:hAnsiTheme="majorHAnsi" w:cstheme="majorHAnsi"/>
          <w:b/>
          <w:sz w:val="28"/>
          <w:szCs w:val="28"/>
        </w:rPr>
      </w:pPr>
      <w:bookmarkStart w:id="3" w:name="_Toc375467182"/>
      <w:r>
        <w:rPr>
          <w:rFonts w:asciiTheme="majorHAnsi" w:hAnsiTheme="majorHAnsi" w:cstheme="majorHAnsi"/>
          <w:b/>
          <w:sz w:val="28"/>
          <w:szCs w:val="28"/>
        </w:rPr>
        <w:br w:type="page"/>
      </w:r>
    </w:p>
    <w:p w14:paraId="1B37FEA3" w14:textId="77777777" w:rsidR="008A54A4" w:rsidRDefault="008A54A4">
      <w:pPr>
        <w:rPr>
          <w:rFonts w:asciiTheme="majorHAnsi" w:hAnsiTheme="majorHAnsi" w:cstheme="majorHAnsi"/>
          <w:b/>
          <w:sz w:val="28"/>
          <w:szCs w:val="28"/>
        </w:rPr>
      </w:pPr>
      <w:r>
        <w:rPr>
          <w:rFonts w:asciiTheme="majorHAnsi" w:hAnsiTheme="majorHAnsi" w:cstheme="majorHAnsi"/>
          <w:b/>
          <w:sz w:val="28"/>
          <w:szCs w:val="28"/>
        </w:rPr>
        <w:lastRenderedPageBreak/>
        <w:br w:type="page"/>
      </w:r>
    </w:p>
    <w:p w14:paraId="2F16B6A7" w14:textId="366D53E3" w:rsidR="00083096" w:rsidRPr="0048676B" w:rsidRDefault="00083096" w:rsidP="005072E3">
      <w:pPr>
        <w:rPr>
          <w:rFonts w:asciiTheme="majorHAnsi" w:hAnsiTheme="majorHAnsi" w:cstheme="majorHAnsi"/>
          <w:b/>
          <w:sz w:val="28"/>
          <w:szCs w:val="28"/>
        </w:rPr>
      </w:pPr>
      <w:r w:rsidRPr="0048676B">
        <w:rPr>
          <w:rFonts w:asciiTheme="majorHAnsi" w:hAnsiTheme="majorHAnsi" w:cstheme="majorHAnsi"/>
          <w:b/>
          <w:sz w:val="28"/>
          <w:szCs w:val="28"/>
        </w:rPr>
        <w:lastRenderedPageBreak/>
        <w:t>Inhoudsopgave</w:t>
      </w:r>
      <w:bookmarkEnd w:id="3"/>
    </w:p>
    <w:p w14:paraId="1FA2C814" w14:textId="77777777" w:rsidR="00116320" w:rsidRPr="004A3D8A" w:rsidRDefault="003C2864" w:rsidP="004A3D8A">
      <w:pPr>
        <w:pStyle w:val="TOC1"/>
        <w:tabs>
          <w:tab w:val="right" w:leader="dot" w:pos="9061"/>
        </w:tabs>
        <w:jc w:val="left"/>
        <w:rPr>
          <w:rFonts w:ascii="Times New Roman" w:hAnsi="Times New Roman" w:cs="Times New Roman"/>
          <w:b w:val="0"/>
          <w:noProof/>
          <w:lang w:val="en-US" w:eastAsia="ja-JP"/>
        </w:rPr>
      </w:pPr>
      <w:r w:rsidRPr="004A3D8A">
        <w:rPr>
          <w:rFonts w:ascii="Times New Roman" w:eastAsia="MS Mincho" w:hAnsi="Times New Roman" w:cs="Times New Roman"/>
          <w:b w:val="0"/>
          <w:noProof/>
          <w:lang w:val="en-GB"/>
        </w:rPr>
        <w:fldChar w:fldCharType="begin"/>
      </w:r>
      <w:r w:rsidRPr="004A3D8A">
        <w:rPr>
          <w:rFonts w:ascii="Times New Roman" w:eastAsia="MS Mincho" w:hAnsi="Times New Roman" w:cs="Times New Roman"/>
          <w:b w:val="0"/>
          <w:noProof/>
          <w:lang w:val="en-GB"/>
        </w:rPr>
        <w:instrText xml:space="preserve"> TOC \o "1-2" \h \z \u </w:instrText>
      </w:r>
      <w:r w:rsidRPr="004A3D8A">
        <w:rPr>
          <w:rFonts w:ascii="Times New Roman" w:eastAsia="MS Mincho" w:hAnsi="Times New Roman" w:cs="Times New Roman"/>
          <w:b w:val="0"/>
          <w:noProof/>
          <w:lang w:val="en-GB"/>
        </w:rPr>
        <w:fldChar w:fldCharType="separate"/>
      </w:r>
      <w:r w:rsidR="00116320" w:rsidRPr="004A3D8A">
        <w:rPr>
          <w:rFonts w:ascii="Times New Roman" w:hAnsi="Times New Roman" w:cs="Times New Roman"/>
          <w:b w:val="0"/>
          <w:noProof/>
        </w:rPr>
        <w:t>Onderwijsvisie</w:t>
      </w:r>
      <w:r w:rsidR="00116320" w:rsidRPr="004A3D8A">
        <w:rPr>
          <w:rFonts w:ascii="Times New Roman" w:hAnsi="Times New Roman" w:cs="Times New Roman"/>
          <w:b w:val="0"/>
          <w:noProof/>
        </w:rPr>
        <w:tab/>
      </w:r>
      <w:r w:rsidR="00116320" w:rsidRPr="004A3D8A">
        <w:rPr>
          <w:rFonts w:ascii="Times New Roman" w:hAnsi="Times New Roman" w:cs="Times New Roman"/>
          <w:b w:val="0"/>
          <w:noProof/>
        </w:rPr>
        <w:fldChar w:fldCharType="begin"/>
      </w:r>
      <w:r w:rsidR="00116320" w:rsidRPr="004A3D8A">
        <w:rPr>
          <w:rFonts w:ascii="Times New Roman" w:hAnsi="Times New Roman" w:cs="Times New Roman"/>
          <w:b w:val="0"/>
          <w:noProof/>
        </w:rPr>
        <w:instrText xml:space="preserve"> PAGEREF _Toc249429829 \h </w:instrText>
      </w:r>
      <w:r w:rsidR="00116320" w:rsidRPr="004A3D8A">
        <w:rPr>
          <w:rFonts w:ascii="Times New Roman" w:hAnsi="Times New Roman" w:cs="Times New Roman"/>
          <w:b w:val="0"/>
          <w:noProof/>
        </w:rPr>
      </w:r>
      <w:r w:rsidR="00116320" w:rsidRPr="004A3D8A">
        <w:rPr>
          <w:rFonts w:ascii="Times New Roman" w:hAnsi="Times New Roman" w:cs="Times New Roman"/>
          <w:b w:val="0"/>
          <w:noProof/>
        </w:rPr>
        <w:fldChar w:fldCharType="separate"/>
      </w:r>
      <w:r w:rsidR="004A3D8A" w:rsidRPr="004A3D8A">
        <w:rPr>
          <w:rFonts w:ascii="Times New Roman" w:hAnsi="Times New Roman" w:cs="Times New Roman"/>
          <w:b w:val="0"/>
          <w:noProof/>
        </w:rPr>
        <w:t>4</w:t>
      </w:r>
      <w:r w:rsidR="00116320" w:rsidRPr="004A3D8A">
        <w:rPr>
          <w:rFonts w:ascii="Times New Roman" w:hAnsi="Times New Roman" w:cs="Times New Roman"/>
          <w:b w:val="0"/>
          <w:noProof/>
        </w:rPr>
        <w:fldChar w:fldCharType="end"/>
      </w:r>
    </w:p>
    <w:p w14:paraId="42E27D6F" w14:textId="77777777" w:rsidR="00116320" w:rsidRPr="004A3D8A" w:rsidRDefault="00116320" w:rsidP="004A3D8A">
      <w:pPr>
        <w:pStyle w:val="TOC1"/>
        <w:tabs>
          <w:tab w:val="right" w:leader="dot" w:pos="9061"/>
        </w:tabs>
        <w:jc w:val="left"/>
        <w:rPr>
          <w:rFonts w:ascii="Times New Roman" w:hAnsi="Times New Roman" w:cs="Times New Roman"/>
          <w:b w:val="0"/>
          <w:noProof/>
          <w:lang w:val="en-US" w:eastAsia="ja-JP"/>
        </w:rPr>
      </w:pPr>
      <w:r w:rsidRPr="004A3D8A">
        <w:rPr>
          <w:rFonts w:ascii="Times New Roman" w:hAnsi="Times New Roman" w:cs="Times New Roman"/>
          <w:b w:val="0"/>
          <w:noProof/>
        </w:rPr>
        <w:t>Onderwijsfilosofie</w:t>
      </w:r>
      <w:r w:rsidRPr="004A3D8A">
        <w:rPr>
          <w:rFonts w:ascii="Times New Roman" w:hAnsi="Times New Roman" w:cs="Times New Roman"/>
          <w:b w:val="0"/>
          <w:noProof/>
        </w:rPr>
        <w:tab/>
      </w:r>
      <w:r w:rsidRPr="004A3D8A">
        <w:rPr>
          <w:rFonts w:ascii="Times New Roman" w:hAnsi="Times New Roman" w:cs="Times New Roman"/>
          <w:b w:val="0"/>
          <w:noProof/>
        </w:rPr>
        <w:fldChar w:fldCharType="begin"/>
      </w:r>
      <w:r w:rsidRPr="004A3D8A">
        <w:rPr>
          <w:rFonts w:ascii="Times New Roman" w:hAnsi="Times New Roman" w:cs="Times New Roman"/>
          <w:b w:val="0"/>
          <w:noProof/>
        </w:rPr>
        <w:instrText xml:space="preserve"> PAGEREF _Toc249429830 \h </w:instrText>
      </w:r>
      <w:r w:rsidRPr="004A3D8A">
        <w:rPr>
          <w:rFonts w:ascii="Times New Roman" w:hAnsi="Times New Roman" w:cs="Times New Roman"/>
          <w:b w:val="0"/>
          <w:noProof/>
        </w:rPr>
      </w:r>
      <w:r w:rsidRPr="004A3D8A">
        <w:rPr>
          <w:rFonts w:ascii="Times New Roman" w:hAnsi="Times New Roman" w:cs="Times New Roman"/>
          <w:b w:val="0"/>
          <w:noProof/>
        </w:rPr>
        <w:fldChar w:fldCharType="separate"/>
      </w:r>
      <w:r w:rsidR="004A3D8A" w:rsidRPr="004A3D8A">
        <w:rPr>
          <w:rFonts w:ascii="Times New Roman" w:hAnsi="Times New Roman" w:cs="Times New Roman"/>
          <w:b w:val="0"/>
          <w:noProof/>
        </w:rPr>
        <w:t>4</w:t>
      </w:r>
      <w:r w:rsidRPr="004A3D8A">
        <w:rPr>
          <w:rFonts w:ascii="Times New Roman" w:hAnsi="Times New Roman" w:cs="Times New Roman"/>
          <w:b w:val="0"/>
          <w:noProof/>
        </w:rPr>
        <w:fldChar w:fldCharType="end"/>
      </w:r>
    </w:p>
    <w:p w14:paraId="05F2E0D2" w14:textId="7777777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Hoe is deze onderwijsfilosofie ontwikkeld?</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_Toc249429831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4</w:t>
      </w:r>
      <w:r w:rsidRPr="004A3D8A">
        <w:rPr>
          <w:rFonts w:ascii="Times New Roman" w:hAnsi="Times New Roman" w:cs="Times New Roman"/>
          <w:b w:val="0"/>
          <w:noProof/>
          <w:szCs w:val="24"/>
        </w:rPr>
        <w:fldChar w:fldCharType="end"/>
      </w:r>
    </w:p>
    <w:p w14:paraId="51A7956E" w14:textId="7777777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Principes onderwijsfilosofie</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_Toc249429832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5</w:t>
      </w:r>
      <w:r w:rsidRPr="004A3D8A">
        <w:rPr>
          <w:rFonts w:ascii="Times New Roman" w:hAnsi="Times New Roman" w:cs="Times New Roman"/>
          <w:b w:val="0"/>
          <w:noProof/>
          <w:szCs w:val="24"/>
        </w:rPr>
        <w:fldChar w:fldCharType="end"/>
      </w:r>
    </w:p>
    <w:p w14:paraId="251C7F32" w14:textId="6086C00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1.</w:t>
      </w:r>
      <w:r w:rsidR="00406976">
        <w:rPr>
          <w:rFonts w:ascii="Times New Roman" w:hAnsi="Times New Roman" w:cs="Times New Roman"/>
          <w:b w:val="0"/>
          <w:noProof/>
          <w:szCs w:val="24"/>
          <w:lang w:val="en-US" w:eastAsia="ja-JP"/>
        </w:rPr>
        <w:t xml:space="preserve"> </w:t>
      </w:r>
      <w:r w:rsidRPr="004A3D8A">
        <w:rPr>
          <w:rFonts w:ascii="Times New Roman" w:hAnsi="Times New Roman" w:cs="Times New Roman"/>
          <w:b w:val="0"/>
          <w:noProof/>
          <w:szCs w:val="24"/>
        </w:rPr>
        <w:t>Het curriculum vormt een consistent en integratief geheel</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_Toc249429833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6</w:t>
      </w:r>
      <w:r w:rsidRPr="004A3D8A">
        <w:rPr>
          <w:rFonts w:ascii="Times New Roman" w:hAnsi="Times New Roman" w:cs="Times New Roman"/>
          <w:b w:val="0"/>
          <w:noProof/>
          <w:szCs w:val="24"/>
        </w:rPr>
        <w:fldChar w:fldCharType="end"/>
      </w:r>
    </w:p>
    <w:p w14:paraId="514859A9" w14:textId="03E4885C"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2.</w:t>
      </w:r>
      <w:r w:rsidR="00406976">
        <w:rPr>
          <w:rFonts w:ascii="Times New Roman" w:hAnsi="Times New Roman" w:cs="Times New Roman"/>
          <w:b w:val="0"/>
          <w:noProof/>
          <w:szCs w:val="24"/>
          <w:lang w:val="en-US" w:eastAsia="ja-JP"/>
        </w:rPr>
        <w:t xml:space="preserve"> </w:t>
      </w:r>
      <w:r w:rsidRPr="004A3D8A">
        <w:rPr>
          <w:rFonts w:ascii="Times New Roman" w:hAnsi="Times New Roman" w:cs="Times New Roman"/>
          <w:b w:val="0"/>
          <w:noProof/>
          <w:szCs w:val="24"/>
        </w:rPr>
        <w:t xml:space="preserve">De didactische vormgeving van het onderwijs </w:t>
      </w:r>
      <w:r w:rsidR="00406976">
        <w:rPr>
          <w:rFonts w:ascii="Times New Roman" w:hAnsi="Times New Roman" w:cs="Times New Roman"/>
          <w:b w:val="0"/>
          <w:noProof/>
          <w:szCs w:val="24"/>
        </w:rPr>
        <w:t>is erop gericht om studenten te</w:t>
      </w:r>
      <w:r w:rsidR="00406976">
        <w:rPr>
          <w:rFonts w:ascii="Times New Roman" w:hAnsi="Times New Roman" w:cs="Times New Roman"/>
          <w:b w:val="0"/>
          <w:noProof/>
          <w:szCs w:val="24"/>
        </w:rPr>
        <w:br/>
      </w:r>
      <w:r w:rsidRPr="004A3D8A">
        <w:rPr>
          <w:rFonts w:ascii="Times New Roman" w:hAnsi="Times New Roman" w:cs="Times New Roman"/>
          <w:b w:val="0"/>
          <w:noProof/>
          <w:szCs w:val="24"/>
        </w:rPr>
        <w:t>laten groeien tot zelfstandigheid</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_Toc249429834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7</w:t>
      </w:r>
      <w:r w:rsidRPr="004A3D8A">
        <w:rPr>
          <w:rFonts w:ascii="Times New Roman" w:hAnsi="Times New Roman" w:cs="Times New Roman"/>
          <w:b w:val="0"/>
          <w:noProof/>
          <w:szCs w:val="24"/>
        </w:rPr>
        <w:fldChar w:fldCharType="end"/>
      </w:r>
    </w:p>
    <w:p w14:paraId="48A43CA8" w14:textId="77777777" w:rsidR="00406976" w:rsidRDefault="00116320" w:rsidP="004A3D8A">
      <w:pPr>
        <w:pStyle w:val="TOC2"/>
        <w:rPr>
          <w:rFonts w:ascii="Times New Roman" w:hAnsi="Times New Roman" w:cs="Times New Roman"/>
          <w:b w:val="0"/>
          <w:noProof/>
          <w:szCs w:val="24"/>
        </w:rPr>
      </w:pPr>
      <w:r w:rsidRPr="004A3D8A">
        <w:rPr>
          <w:rFonts w:ascii="Times New Roman" w:hAnsi="Times New Roman" w:cs="Times New Roman"/>
          <w:b w:val="0"/>
          <w:noProof/>
          <w:szCs w:val="24"/>
        </w:rPr>
        <w:t>3.</w:t>
      </w:r>
      <w:r w:rsidR="00406976">
        <w:rPr>
          <w:rFonts w:ascii="Times New Roman" w:hAnsi="Times New Roman" w:cs="Times New Roman"/>
          <w:b w:val="0"/>
          <w:noProof/>
          <w:szCs w:val="24"/>
          <w:lang w:val="en-US" w:eastAsia="ja-JP"/>
        </w:rPr>
        <w:t xml:space="preserve"> </w:t>
      </w:r>
      <w:r w:rsidRPr="004A3D8A">
        <w:rPr>
          <w:rFonts w:ascii="Times New Roman" w:hAnsi="Times New Roman" w:cs="Times New Roman"/>
          <w:b w:val="0"/>
          <w:noProof/>
          <w:szCs w:val="24"/>
        </w:rPr>
        <w:t xml:space="preserve">Verwerving en toepassing van nieuwe kennis en vaardigheden vinden plaats in </w:t>
      </w:r>
    </w:p>
    <w:p w14:paraId="5FA48095" w14:textId="2BB3F494"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een voor klinisch technologen relevante context</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_Toc249429835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9</w:t>
      </w:r>
      <w:r w:rsidRPr="004A3D8A">
        <w:rPr>
          <w:rFonts w:ascii="Times New Roman" w:hAnsi="Times New Roman" w:cs="Times New Roman"/>
          <w:b w:val="0"/>
          <w:noProof/>
          <w:szCs w:val="24"/>
        </w:rPr>
        <w:fldChar w:fldCharType="end"/>
      </w:r>
    </w:p>
    <w:p w14:paraId="18188424" w14:textId="281600E4" w:rsidR="00823880" w:rsidRPr="004A3D8A" w:rsidRDefault="00116320" w:rsidP="004A3D8A">
      <w:pPr>
        <w:pStyle w:val="TOC2"/>
        <w:rPr>
          <w:rFonts w:ascii="Times New Roman" w:hAnsi="Times New Roman" w:cs="Times New Roman"/>
          <w:b w:val="0"/>
          <w:noProof/>
          <w:szCs w:val="24"/>
        </w:rPr>
      </w:pPr>
      <w:r w:rsidRPr="004A3D8A">
        <w:rPr>
          <w:rFonts w:ascii="Times New Roman" w:hAnsi="Times New Roman" w:cs="Times New Roman"/>
          <w:b w:val="0"/>
          <w:noProof/>
          <w:szCs w:val="24"/>
        </w:rPr>
        <w:t>4.</w:t>
      </w:r>
      <w:r w:rsidR="00406976">
        <w:rPr>
          <w:rFonts w:ascii="Times New Roman" w:hAnsi="Times New Roman" w:cs="Times New Roman"/>
          <w:b w:val="0"/>
          <w:noProof/>
          <w:szCs w:val="24"/>
          <w:lang w:val="en-US" w:eastAsia="ja-JP"/>
        </w:rPr>
        <w:t xml:space="preserve"> </w:t>
      </w:r>
      <w:r w:rsidRPr="004A3D8A">
        <w:rPr>
          <w:rFonts w:ascii="Times New Roman" w:hAnsi="Times New Roman" w:cs="Times New Roman"/>
          <w:b w:val="0"/>
          <w:noProof/>
          <w:szCs w:val="24"/>
        </w:rPr>
        <w:t xml:space="preserve">Monitoring, begeleiding, toetsing en feedback vormen een samenhangend geheel </w:t>
      </w:r>
    </w:p>
    <w:p w14:paraId="44E5CC50" w14:textId="7F920595"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passend bij de behoeften en verdere ontwikkeling van de student</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_Toc249429836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10</w:t>
      </w:r>
      <w:r w:rsidRPr="004A3D8A">
        <w:rPr>
          <w:rFonts w:ascii="Times New Roman" w:hAnsi="Times New Roman" w:cs="Times New Roman"/>
          <w:b w:val="0"/>
          <w:noProof/>
          <w:szCs w:val="24"/>
        </w:rPr>
        <w:fldChar w:fldCharType="end"/>
      </w:r>
    </w:p>
    <w:p w14:paraId="3EDC0064" w14:textId="7F82668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5.</w:t>
      </w:r>
      <w:r w:rsidR="00406976">
        <w:rPr>
          <w:rFonts w:ascii="Times New Roman" w:hAnsi="Times New Roman" w:cs="Times New Roman"/>
          <w:b w:val="0"/>
          <w:noProof/>
          <w:szCs w:val="24"/>
          <w:lang w:val="en-US" w:eastAsia="ja-JP"/>
        </w:rPr>
        <w:t xml:space="preserve"> </w:t>
      </w:r>
      <w:r w:rsidRPr="004A3D8A">
        <w:rPr>
          <w:rFonts w:ascii="Times New Roman" w:hAnsi="Times New Roman" w:cs="Times New Roman"/>
          <w:b w:val="0"/>
          <w:noProof/>
          <w:szCs w:val="24"/>
        </w:rPr>
        <w:t xml:space="preserve">Studenten worden vroeg bewust van hun rol </w:t>
      </w:r>
      <w:r w:rsidR="00406976">
        <w:rPr>
          <w:rFonts w:ascii="Times New Roman" w:hAnsi="Times New Roman" w:cs="Times New Roman"/>
          <w:b w:val="0"/>
          <w:noProof/>
          <w:szCs w:val="24"/>
        </w:rPr>
        <w:t>als zorgprofessionals en hebben</w:t>
      </w:r>
      <w:r w:rsidR="00406976">
        <w:rPr>
          <w:rFonts w:ascii="Times New Roman" w:hAnsi="Times New Roman" w:cs="Times New Roman"/>
          <w:b w:val="0"/>
          <w:noProof/>
          <w:szCs w:val="24"/>
        </w:rPr>
        <w:br/>
      </w:r>
      <w:r w:rsidRPr="004A3D8A">
        <w:rPr>
          <w:rFonts w:ascii="Times New Roman" w:hAnsi="Times New Roman" w:cs="Times New Roman"/>
          <w:b w:val="0"/>
          <w:noProof/>
          <w:szCs w:val="24"/>
        </w:rPr>
        <w:t>inzicht in hun arbeidsperspectief.</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_Toc249429837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11</w:t>
      </w:r>
      <w:r w:rsidRPr="004A3D8A">
        <w:rPr>
          <w:rFonts w:ascii="Times New Roman" w:hAnsi="Times New Roman" w:cs="Times New Roman"/>
          <w:b w:val="0"/>
          <w:noProof/>
          <w:szCs w:val="24"/>
        </w:rPr>
        <w:fldChar w:fldCharType="end"/>
      </w:r>
    </w:p>
    <w:p w14:paraId="1907C250" w14:textId="127E58D8"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6.</w:t>
      </w:r>
      <w:r w:rsidR="00406976">
        <w:rPr>
          <w:rFonts w:ascii="Times New Roman" w:hAnsi="Times New Roman" w:cs="Times New Roman"/>
          <w:b w:val="0"/>
          <w:noProof/>
          <w:szCs w:val="24"/>
          <w:lang w:val="en-US" w:eastAsia="ja-JP"/>
        </w:rPr>
        <w:t xml:space="preserve"> </w:t>
      </w:r>
      <w:r w:rsidRPr="004A3D8A">
        <w:rPr>
          <w:rFonts w:ascii="Times New Roman" w:hAnsi="Times New Roman" w:cs="Times New Roman"/>
          <w:b w:val="0"/>
          <w:noProof/>
          <w:szCs w:val="24"/>
        </w:rPr>
        <w:t xml:space="preserve">Het onderwijs en faciliteiten zijn ontworpen als een veilige omgeving waarin </w:t>
      </w:r>
      <w:r w:rsidR="00406976">
        <w:rPr>
          <w:rFonts w:ascii="Times New Roman" w:hAnsi="Times New Roman" w:cs="Times New Roman"/>
          <w:b w:val="0"/>
          <w:noProof/>
          <w:szCs w:val="24"/>
        </w:rPr>
        <w:br/>
      </w:r>
      <w:r w:rsidRPr="004A3D8A">
        <w:rPr>
          <w:rFonts w:ascii="Times New Roman" w:hAnsi="Times New Roman" w:cs="Times New Roman"/>
          <w:b w:val="0"/>
          <w:noProof/>
          <w:szCs w:val="24"/>
        </w:rPr>
        <w:t>studenten zich vertrouwd voelen.</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_Toc249429838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13</w:t>
      </w:r>
      <w:r w:rsidRPr="004A3D8A">
        <w:rPr>
          <w:rFonts w:ascii="Times New Roman" w:hAnsi="Times New Roman" w:cs="Times New Roman"/>
          <w:b w:val="0"/>
          <w:noProof/>
          <w:szCs w:val="24"/>
        </w:rPr>
        <w:fldChar w:fldCharType="end"/>
      </w:r>
    </w:p>
    <w:p w14:paraId="59B64390" w14:textId="77777777" w:rsidR="00116320" w:rsidRPr="004A3D8A" w:rsidRDefault="00116320" w:rsidP="004A3D8A">
      <w:pPr>
        <w:pStyle w:val="TOC1"/>
        <w:tabs>
          <w:tab w:val="right" w:leader="dot" w:pos="9061"/>
        </w:tabs>
        <w:jc w:val="left"/>
        <w:rPr>
          <w:rFonts w:ascii="Times New Roman" w:hAnsi="Times New Roman" w:cs="Times New Roman"/>
          <w:b w:val="0"/>
          <w:noProof/>
          <w:lang w:val="en-US" w:eastAsia="ja-JP"/>
        </w:rPr>
      </w:pPr>
      <w:r w:rsidRPr="004A3D8A">
        <w:rPr>
          <w:rFonts w:ascii="Times New Roman" w:hAnsi="Times New Roman" w:cs="Times New Roman"/>
          <w:b w:val="0"/>
          <w:noProof/>
        </w:rPr>
        <w:t>Didactisch concept</w:t>
      </w:r>
      <w:r w:rsidRPr="004A3D8A">
        <w:rPr>
          <w:rFonts w:ascii="Times New Roman" w:hAnsi="Times New Roman" w:cs="Times New Roman"/>
          <w:b w:val="0"/>
          <w:noProof/>
        </w:rPr>
        <w:tab/>
      </w:r>
      <w:r w:rsidRPr="004A3D8A">
        <w:rPr>
          <w:rFonts w:ascii="Times New Roman" w:hAnsi="Times New Roman" w:cs="Times New Roman"/>
          <w:b w:val="0"/>
          <w:noProof/>
        </w:rPr>
        <w:fldChar w:fldCharType="begin"/>
      </w:r>
      <w:r w:rsidRPr="004A3D8A">
        <w:rPr>
          <w:rFonts w:ascii="Times New Roman" w:hAnsi="Times New Roman" w:cs="Times New Roman"/>
          <w:b w:val="0"/>
          <w:noProof/>
        </w:rPr>
        <w:instrText xml:space="preserve"> PAGEREF _Toc249429839 \h </w:instrText>
      </w:r>
      <w:r w:rsidRPr="004A3D8A">
        <w:rPr>
          <w:rFonts w:ascii="Times New Roman" w:hAnsi="Times New Roman" w:cs="Times New Roman"/>
          <w:b w:val="0"/>
          <w:noProof/>
        </w:rPr>
      </w:r>
      <w:r w:rsidRPr="004A3D8A">
        <w:rPr>
          <w:rFonts w:ascii="Times New Roman" w:hAnsi="Times New Roman" w:cs="Times New Roman"/>
          <w:b w:val="0"/>
          <w:noProof/>
        </w:rPr>
        <w:fldChar w:fldCharType="separate"/>
      </w:r>
      <w:r w:rsidR="004A3D8A" w:rsidRPr="004A3D8A">
        <w:rPr>
          <w:rFonts w:ascii="Times New Roman" w:hAnsi="Times New Roman" w:cs="Times New Roman"/>
          <w:b w:val="0"/>
          <w:noProof/>
        </w:rPr>
        <w:t>14</w:t>
      </w:r>
      <w:r w:rsidRPr="004A3D8A">
        <w:rPr>
          <w:rFonts w:ascii="Times New Roman" w:hAnsi="Times New Roman" w:cs="Times New Roman"/>
          <w:b w:val="0"/>
          <w:noProof/>
        </w:rPr>
        <w:fldChar w:fldCharType="end"/>
      </w:r>
    </w:p>
    <w:p w14:paraId="404AD69C" w14:textId="7777777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Competentiegericht</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_Toc249429840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14</w:t>
      </w:r>
      <w:r w:rsidRPr="004A3D8A">
        <w:rPr>
          <w:rFonts w:ascii="Times New Roman" w:hAnsi="Times New Roman" w:cs="Times New Roman"/>
          <w:b w:val="0"/>
          <w:noProof/>
          <w:szCs w:val="24"/>
        </w:rPr>
        <w:fldChar w:fldCharType="end"/>
      </w:r>
    </w:p>
    <w:p w14:paraId="1217FCB6" w14:textId="7777777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Expertgericht</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_Toc249429841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14</w:t>
      </w:r>
      <w:r w:rsidRPr="004A3D8A">
        <w:rPr>
          <w:rFonts w:ascii="Times New Roman" w:hAnsi="Times New Roman" w:cs="Times New Roman"/>
          <w:b w:val="0"/>
          <w:noProof/>
          <w:szCs w:val="24"/>
        </w:rPr>
        <w:fldChar w:fldCharType="end"/>
      </w:r>
    </w:p>
    <w:p w14:paraId="3D468405" w14:textId="7777777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Actiegericht</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_Toc249429842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14</w:t>
      </w:r>
      <w:r w:rsidRPr="004A3D8A">
        <w:rPr>
          <w:rFonts w:ascii="Times New Roman" w:hAnsi="Times New Roman" w:cs="Times New Roman"/>
          <w:b w:val="0"/>
          <w:noProof/>
          <w:szCs w:val="24"/>
        </w:rPr>
        <w:fldChar w:fldCharType="end"/>
      </w:r>
    </w:p>
    <w:p w14:paraId="55438C9B" w14:textId="77777777" w:rsidR="00116320" w:rsidRPr="004A3D8A" w:rsidRDefault="00116320" w:rsidP="004A3D8A">
      <w:pPr>
        <w:pStyle w:val="TOC2"/>
        <w:rPr>
          <w:rFonts w:ascii="Times New Roman" w:hAnsi="Times New Roman" w:cs="Times New Roman"/>
          <w:b w:val="0"/>
          <w:noProof/>
          <w:szCs w:val="24"/>
          <w:lang w:val="en-US" w:eastAsia="ja-JP"/>
        </w:rPr>
      </w:pPr>
      <w:r w:rsidRPr="004A3D8A">
        <w:rPr>
          <w:rFonts w:ascii="Times New Roman" w:hAnsi="Times New Roman" w:cs="Times New Roman"/>
          <w:b w:val="0"/>
          <w:noProof/>
          <w:szCs w:val="24"/>
        </w:rPr>
        <w:t>Integratie</w:t>
      </w:r>
      <w:r w:rsidRPr="004A3D8A">
        <w:rPr>
          <w:rFonts w:ascii="Times New Roman" w:hAnsi="Times New Roman" w:cs="Times New Roman"/>
          <w:b w:val="0"/>
          <w:noProof/>
          <w:szCs w:val="24"/>
        </w:rPr>
        <w:tab/>
      </w:r>
      <w:r w:rsidRPr="004A3D8A">
        <w:rPr>
          <w:rFonts w:ascii="Times New Roman" w:hAnsi="Times New Roman" w:cs="Times New Roman"/>
          <w:b w:val="0"/>
          <w:noProof/>
          <w:szCs w:val="24"/>
        </w:rPr>
        <w:fldChar w:fldCharType="begin"/>
      </w:r>
      <w:r w:rsidRPr="004A3D8A">
        <w:rPr>
          <w:rFonts w:ascii="Times New Roman" w:hAnsi="Times New Roman" w:cs="Times New Roman"/>
          <w:b w:val="0"/>
          <w:noProof/>
          <w:szCs w:val="24"/>
        </w:rPr>
        <w:instrText xml:space="preserve"> PAGEREF _Toc249429843 \h </w:instrText>
      </w:r>
      <w:r w:rsidRPr="004A3D8A">
        <w:rPr>
          <w:rFonts w:ascii="Times New Roman" w:hAnsi="Times New Roman" w:cs="Times New Roman"/>
          <w:b w:val="0"/>
          <w:noProof/>
          <w:szCs w:val="24"/>
        </w:rPr>
      </w:r>
      <w:r w:rsidRPr="004A3D8A">
        <w:rPr>
          <w:rFonts w:ascii="Times New Roman" w:hAnsi="Times New Roman" w:cs="Times New Roman"/>
          <w:b w:val="0"/>
          <w:noProof/>
          <w:szCs w:val="24"/>
        </w:rPr>
        <w:fldChar w:fldCharType="separate"/>
      </w:r>
      <w:r w:rsidR="004A3D8A" w:rsidRPr="004A3D8A">
        <w:rPr>
          <w:rFonts w:ascii="Times New Roman" w:hAnsi="Times New Roman" w:cs="Times New Roman"/>
          <w:b w:val="0"/>
          <w:noProof/>
          <w:szCs w:val="24"/>
        </w:rPr>
        <w:t>15</w:t>
      </w:r>
      <w:r w:rsidRPr="004A3D8A">
        <w:rPr>
          <w:rFonts w:ascii="Times New Roman" w:hAnsi="Times New Roman" w:cs="Times New Roman"/>
          <w:b w:val="0"/>
          <w:noProof/>
          <w:szCs w:val="24"/>
        </w:rPr>
        <w:fldChar w:fldCharType="end"/>
      </w:r>
    </w:p>
    <w:p w14:paraId="6A447AAA" w14:textId="77777777" w:rsidR="000276EB" w:rsidRPr="000276EB" w:rsidRDefault="003C2864" w:rsidP="004A3D8A">
      <w:pPr>
        <w:tabs>
          <w:tab w:val="right" w:leader="dot" w:pos="9056"/>
        </w:tabs>
        <w:spacing w:before="120" w:after="0" w:line="240" w:lineRule="auto"/>
        <w:jc w:val="left"/>
        <w:rPr>
          <w:rFonts w:ascii="Calibri" w:eastAsia="MS Mincho" w:hAnsi="Calibri" w:cs="Times New Roman"/>
          <w:noProof/>
          <w:lang w:val="en-GB" w:eastAsia="en-US"/>
        </w:rPr>
      </w:pPr>
      <w:r w:rsidRPr="004A3D8A">
        <w:rPr>
          <w:rFonts w:ascii="Times New Roman" w:eastAsia="MS Mincho" w:hAnsi="Times New Roman" w:cs="Times New Roman"/>
          <w:noProof/>
          <w:szCs w:val="24"/>
          <w:lang w:val="en-GB" w:eastAsia="en-US"/>
        </w:rPr>
        <w:fldChar w:fldCharType="end"/>
      </w:r>
    </w:p>
    <w:p w14:paraId="6022BF25" w14:textId="77777777" w:rsidR="000276EB" w:rsidRPr="000276EB" w:rsidRDefault="000276EB" w:rsidP="005072E3">
      <w:pPr>
        <w:tabs>
          <w:tab w:val="right" w:leader="dot" w:pos="9056"/>
        </w:tabs>
        <w:spacing w:after="0" w:line="240" w:lineRule="auto"/>
        <w:ind w:left="240"/>
        <w:rPr>
          <w:rFonts w:ascii="Calibri" w:eastAsia="MS Mincho" w:hAnsi="Calibri" w:cs="Times New Roman"/>
          <w:noProof/>
          <w:lang w:val="en-GB" w:eastAsia="en-US"/>
        </w:rPr>
      </w:pPr>
    </w:p>
    <w:p w14:paraId="300BE428" w14:textId="77777777" w:rsidR="0079779A" w:rsidRDefault="00083096" w:rsidP="005072E3">
      <w:pPr>
        <w:pStyle w:val="Heading1"/>
      </w:pPr>
      <w:r w:rsidRPr="0005208C">
        <w:br w:type="page"/>
      </w:r>
      <w:bookmarkStart w:id="4" w:name="_Toc248295786"/>
      <w:bookmarkStart w:id="5" w:name="_Toc375467183"/>
    </w:p>
    <w:p w14:paraId="533C93B8" w14:textId="77777777" w:rsidR="0079779A" w:rsidRDefault="0079779A" w:rsidP="005072E3">
      <w:pPr>
        <w:pStyle w:val="Heading1"/>
      </w:pPr>
      <w:bookmarkStart w:id="6" w:name="_Toc249429829"/>
      <w:r>
        <w:lastRenderedPageBreak/>
        <w:t>Onderwijsvisie</w:t>
      </w:r>
      <w:bookmarkEnd w:id="6"/>
    </w:p>
    <w:p w14:paraId="55FBD4BB" w14:textId="77777777" w:rsidR="0079779A" w:rsidRPr="0079779A" w:rsidRDefault="0079779A" w:rsidP="005072E3">
      <w:r>
        <w:t>“</w:t>
      </w:r>
      <w:r w:rsidRPr="0079779A">
        <w:t>De bachelor klinische technologie levert door geïntegreerd onderwijs de competenties voor vervolgopleiding in de complete medisch-technische bandbreedte</w:t>
      </w:r>
      <w:r>
        <w:t>.</w:t>
      </w:r>
    </w:p>
    <w:p w14:paraId="391CF070" w14:textId="77777777" w:rsidR="0079779A" w:rsidRPr="0079779A" w:rsidRDefault="0079779A" w:rsidP="005072E3">
      <w:r w:rsidRPr="0079779A">
        <w:t>Hierdoor kunnen patiënten veilig en optimaal profiteren van technologische innovaties en doelmatige implementaties daarvan in de gezondheidszorg</w:t>
      </w:r>
      <w:r>
        <w:t>.”</w:t>
      </w:r>
    </w:p>
    <w:p w14:paraId="2640BEBF" w14:textId="77777777" w:rsidR="00083096" w:rsidRPr="00083096" w:rsidRDefault="00083096" w:rsidP="005072E3">
      <w:pPr>
        <w:pStyle w:val="Heading1"/>
      </w:pPr>
      <w:bookmarkStart w:id="7" w:name="_Toc249429830"/>
      <w:r w:rsidRPr="00083096">
        <w:t>Onderwijsfilosofie</w:t>
      </w:r>
      <w:bookmarkEnd w:id="4"/>
      <w:bookmarkEnd w:id="5"/>
      <w:bookmarkEnd w:id="7"/>
    </w:p>
    <w:p w14:paraId="1CE278DC" w14:textId="77777777" w:rsidR="00083096" w:rsidRPr="00083096" w:rsidRDefault="00083096" w:rsidP="005072E3">
      <w:r w:rsidRPr="00083096">
        <w:rPr>
          <w:b/>
        </w:rPr>
        <w:cr/>
      </w:r>
      <w:bookmarkStart w:id="8" w:name="_Toc248295787"/>
      <w:r w:rsidRPr="000276EB">
        <w:rPr>
          <w:rStyle w:val="Heading2Char"/>
        </w:rPr>
        <w:t>Waarom een onderwijsfilosofie?</w:t>
      </w:r>
      <w:r w:rsidRPr="000276EB">
        <w:rPr>
          <w:rStyle w:val="Heading2Char"/>
        </w:rPr>
        <w:cr/>
      </w:r>
      <w:r w:rsidRPr="00083096">
        <w:t xml:space="preserve">Voorafgaand aan de specifieke ontwikkeling van het </w:t>
      </w:r>
      <w:r w:rsidR="005B6201" w:rsidRPr="00083096">
        <w:t xml:space="preserve">bachelor </w:t>
      </w:r>
      <w:r w:rsidRPr="00083096">
        <w:t xml:space="preserve">programma </w:t>
      </w:r>
      <w:r w:rsidR="005B6201" w:rsidRPr="00083096">
        <w:t xml:space="preserve">Klinische Technologie </w:t>
      </w:r>
      <w:r w:rsidRPr="00083096">
        <w:t xml:space="preserve">moet worden uitgedacht waartoe we studenten opleiden en hoe we dit willen bereiken. De eindtermen van de opleiding geven aan </w:t>
      </w:r>
      <w:r w:rsidRPr="00083096">
        <w:rPr>
          <w:b/>
          <w:i/>
        </w:rPr>
        <w:t>wat</w:t>
      </w:r>
      <w:r w:rsidRPr="00083096">
        <w:t xml:space="preserve"> er binnen de opleiding aan</w:t>
      </w:r>
      <w:r w:rsidR="005B6201">
        <w:t xml:space="preserve"> de orde komt en op welk niveau. De</w:t>
      </w:r>
      <w:r w:rsidRPr="00083096">
        <w:t xml:space="preserve"> onderwijsfilosofie betreft de vraag </w:t>
      </w:r>
      <w:r w:rsidRPr="00083096">
        <w:rPr>
          <w:b/>
          <w:i/>
        </w:rPr>
        <w:t>hoe</w:t>
      </w:r>
      <w:r w:rsidRPr="00083096">
        <w:t xml:space="preserve"> dat gebeurt.</w:t>
      </w:r>
      <w:bookmarkEnd w:id="8"/>
      <w:r w:rsidRPr="00083096">
        <w:t xml:space="preserve"> </w:t>
      </w:r>
    </w:p>
    <w:p w14:paraId="374350BC" w14:textId="77777777" w:rsidR="00083096" w:rsidRPr="00083096" w:rsidRDefault="00083096" w:rsidP="005072E3">
      <w:bookmarkStart w:id="9" w:name="_Toc248295788"/>
      <w:r w:rsidRPr="00083096">
        <w:t>De onderwijsfilosofie van de bachelor Klinische Technologie kan worden gezien als leidraad die helpt om didactische beslissingen te nemen bij de ontwikkeling van de verschillende onderdelen van het curriculum. Doel ervan is het realiseren van een consistente didactische vormgeving, passend bij de doelen en het karakter van de opleiding.</w:t>
      </w:r>
      <w:bookmarkEnd w:id="9"/>
      <w:r w:rsidRPr="00083096">
        <w:t xml:space="preserve"> </w:t>
      </w:r>
    </w:p>
    <w:p w14:paraId="2C7D1AB5" w14:textId="77777777" w:rsidR="00083096" w:rsidRPr="00083096" w:rsidRDefault="00083096" w:rsidP="005072E3">
      <w:pPr>
        <w:pStyle w:val="Heading2"/>
      </w:pPr>
      <w:bookmarkStart w:id="10" w:name="_Toc248295789"/>
      <w:bookmarkStart w:id="11" w:name="_Toc249429831"/>
      <w:r w:rsidRPr="00083096">
        <w:t>Hoe is deze onderwijsfilosofie ontwikkeld?</w:t>
      </w:r>
      <w:bookmarkEnd w:id="10"/>
      <w:bookmarkEnd w:id="11"/>
    </w:p>
    <w:p w14:paraId="5676667F" w14:textId="77777777" w:rsidR="00083096" w:rsidRPr="00083096" w:rsidRDefault="00083096" w:rsidP="005072E3">
      <w:bookmarkStart w:id="12" w:name="_Toc248295790"/>
      <w:r w:rsidRPr="00083096">
        <w:t xml:space="preserve">In een van de eerste docentbijeenkomsten is gezamenlijk gebrainstormd over welke visie de docenten hebben op onderwijs. Na deze brainstorm zijn de ruwe onderdelen geordend en uitgeschreven als principes. </w:t>
      </w:r>
      <w:bookmarkStart w:id="13" w:name="_Toc248295791"/>
      <w:r w:rsidR="005B6201" w:rsidRPr="00083096">
        <w:t>Om de principes van deze onderwijsfilosofie te ontwikkelen zijn eigen ervaringen en inzichten in dit type onderwijs gematcht met actuele onderwijskundige inzichten, waar mogelijk uit het medisch en technisch veld.</w:t>
      </w:r>
      <w:bookmarkEnd w:id="13"/>
      <w:r w:rsidR="009E5A8D">
        <w:t xml:space="preserve"> </w:t>
      </w:r>
      <w:r w:rsidRPr="00083096">
        <w:t>Deze principes zijn voorgelegd aan een kleinere groep betrokkenen bij he</w:t>
      </w:r>
      <w:r w:rsidR="005B6201">
        <w:t>t</w:t>
      </w:r>
      <w:r w:rsidRPr="00083096">
        <w:t xml:space="preserve"> onderwijs. De onderwijsfilosofie van Klinische Technologie bestaat uit zes principes. Een principe wordt eerst kernachtig geformuleerd, vervolgens toegelicht en voorzien van een uitleg waarom dit principe zinvol is voor deze opleiding. </w:t>
      </w:r>
      <w:r w:rsidR="005B6201">
        <w:t>T</w:t>
      </w:r>
      <w:r w:rsidRPr="00083096">
        <w:t xml:space="preserve">er illustratie </w:t>
      </w:r>
      <w:r w:rsidR="005B6201">
        <w:t xml:space="preserve">worden </w:t>
      </w:r>
      <w:r w:rsidRPr="00083096">
        <w:t>voorbeelden gegeven hoe dit principe in het onderwijs gerealiseerd kan worden.</w:t>
      </w:r>
      <w:bookmarkEnd w:id="12"/>
      <w:r w:rsidR="005B6201">
        <w:t xml:space="preserve"> </w:t>
      </w:r>
    </w:p>
    <w:p w14:paraId="174700B0" w14:textId="77777777" w:rsidR="008C0ED9" w:rsidRDefault="008C0ED9" w:rsidP="005072E3">
      <w:pPr>
        <w:rPr>
          <w:rFonts w:asciiTheme="majorHAnsi" w:eastAsiaTheme="majorEastAsia" w:hAnsiTheme="majorHAnsi" w:cstheme="majorBidi"/>
          <w:b/>
          <w:bCs/>
          <w:sz w:val="26"/>
          <w:szCs w:val="26"/>
        </w:rPr>
      </w:pPr>
      <w:bookmarkStart w:id="14" w:name="_Toc248295792"/>
      <w:r>
        <w:br w:type="page"/>
      </w:r>
    </w:p>
    <w:p w14:paraId="19F21EA8" w14:textId="77777777" w:rsidR="000276EB" w:rsidRDefault="000276EB" w:rsidP="005072E3">
      <w:pPr>
        <w:pStyle w:val="Heading2"/>
      </w:pPr>
      <w:bookmarkStart w:id="15" w:name="_Toc249429832"/>
      <w:r>
        <w:lastRenderedPageBreak/>
        <w:t>Principes onderwijsfilosofie</w:t>
      </w:r>
      <w:bookmarkEnd w:id="15"/>
    </w:p>
    <w:p w14:paraId="788EC7C7" w14:textId="77777777" w:rsidR="00083096" w:rsidRPr="00083096" w:rsidRDefault="00083096" w:rsidP="005072E3">
      <w:r w:rsidRPr="00083096">
        <w:t>De onderwijsfilosofie van de bachelor Klinische Technologie omvat de volgende principes:</w:t>
      </w:r>
      <w:bookmarkEnd w:id="14"/>
    </w:p>
    <w:p w14:paraId="189318B4" w14:textId="77777777" w:rsidR="00083096" w:rsidRPr="00083096" w:rsidRDefault="00083096" w:rsidP="005072E3">
      <w:pPr>
        <w:numPr>
          <w:ilvl w:val="0"/>
          <w:numId w:val="16"/>
        </w:numPr>
      </w:pPr>
      <w:bookmarkStart w:id="16" w:name="_Toc248295793"/>
      <w:bookmarkStart w:id="17" w:name="_Ref375467285"/>
      <w:r w:rsidRPr="00083096">
        <w:t>Het curriculum vormt een consistent en integratief geheel.</w:t>
      </w:r>
      <w:bookmarkEnd w:id="16"/>
      <w:bookmarkEnd w:id="17"/>
    </w:p>
    <w:p w14:paraId="5E276B29" w14:textId="77777777" w:rsidR="00083096" w:rsidRPr="00083096" w:rsidRDefault="00083096" w:rsidP="005072E3">
      <w:pPr>
        <w:numPr>
          <w:ilvl w:val="0"/>
          <w:numId w:val="16"/>
        </w:numPr>
      </w:pPr>
      <w:r w:rsidRPr="00083096">
        <w:t>De didactische vormgeving van het onderwijs is erop gericht om studenten te laten groeien tot zelfstandigheid.</w:t>
      </w:r>
    </w:p>
    <w:p w14:paraId="2946DF75" w14:textId="77777777" w:rsidR="00083096" w:rsidRPr="00083096" w:rsidRDefault="00083096" w:rsidP="005072E3">
      <w:pPr>
        <w:numPr>
          <w:ilvl w:val="0"/>
          <w:numId w:val="16"/>
        </w:numPr>
      </w:pPr>
      <w:bookmarkStart w:id="18" w:name="_Toc248295795"/>
      <w:r w:rsidRPr="00083096">
        <w:t xml:space="preserve">Verwerving en toepassing van nieuwe kennis en vaardigheden vinden plaats in een voor </w:t>
      </w:r>
      <w:bookmarkEnd w:id="18"/>
      <w:r w:rsidRPr="00083096">
        <w:t xml:space="preserve">klinische technologen relevante context. </w:t>
      </w:r>
    </w:p>
    <w:p w14:paraId="1EF763FF" w14:textId="77777777" w:rsidR="00083096" w:rsidRPr="00083096" w:rsidRDefault="009E5A8D" w:rsidP="005072E3">
      <w:pPr>
        <w:numPr>
          <w:ilvl w:val="0"/>
          <w:numId w:val="16"/>
        </w:numPr>
      </w:pPr>
      <w:bookmarkStart w:id="19" w:name="_Toc248295797"/>
      <w:r>
        <w:t>M</w:t>
      </w:r>
      <w:r w:rsidR="00083096" w:rsidRPr="00083096">
        <w:t xml:space="preserve">onitoring, begeleiding, toetsing en feedback </w:t>
      </w:r>
      <w:r>
        <w:t xml:space="preserve">vormen een samenhangend geheel </w:t>
      </w:r>
      <w:r w:rsidR="00083096" w:rsidRPr="00083096">
        <w:t>passend bij de behoeften en verdere ontwikkeling van de student.</w:t>
      </w:r>
      <w:bookmarkEnd w:id="19"/>
    </w:p>
    <w:p w14:paraId="13C3F4F9" w14:textId="77777777" w:rsidR="00083096" w:rsidRPr="00083096" w:rsidRDefault="00083096" w:rsidP="005072E3">
      <w:pPr>
        <w:numPr>
          <w:ilvl w:val="0"/>
          <w:numId w:val="16"/>
        </w:numPr>
      </w:pPr>
      <w:r w:rsidRPr="00083096">
        <w:t xml:space="preserve">Studenten worden vroeg bewust van hun rol als zorgprofessionals en hebben </w:t>
      </w:r>
      <w:r w:rsidR="009E5A8D">
        <w:t>in</w:t>
      </w:r>
      <w:r w:rsidRPr="00083096">
        <w:t xml:space="preserve">zicht </w:t>
      </w:r>
      <w:r w:rsidR="009E5A8D">
        <w:t>in</w:t>
      </w:r>
      <w:r w:rsidRPr="00083096">
        <w:t xml:space="preserve"> hun arbeidsperspectief. </w:t>
      </w:r>
    </w:p>
    <w:p w14:paraId="5F99A4EF" w14:textId="77777777" w:rsidR="00083096" w:rsidRPr="00083096" w:rsidRDefault="00083096" w:rsidP="005072E3">
      <w:pPr>
        <w:numPr>
          <w:ilvl w:val="0"/>
          <w:numId w:val="16"/>
        </w:numPr>
      </w:pPr>
      <w:r w:rsidRPr="00083096">
        <w:t xml:space="preserve">Het onderwijs en faciliteiten zijn ontworpen als een veilige omgeving waarin studenten zich vertrouwd voelen. </w:t>
      </w:r>
    </w:p>
    <w:p w14:paraId="245952AC" w14:textId="77777777" w:rsidR="00371C1E" w:rsidRPr="00371C1E" w:rsidRDefault="00371C1E" w:rsidP="005072E3">
      <w:pPr>
        <w:pStyle w:val="body-text"/>
        <w:framePr w:w="9423" w:h="5665" w:hRule="exact" w:hSpace="181" w:wrap="around" w:vAnchor="page" w:hAnchor="page" w:x="1484" w:y="8801"/>
        <w:ind w:firstLine="0"/>
        <w:rPr>
          <w:rFonts w:ascii="Times New Roman" w:hAnsi="Times New Roman"/>
          <w:lang w:val="nl-NL"/>
        </w:rPr>
      </w:pPr>
      <w:r>
        <w:rPr>
          <w:rFonts w:ascii="Times New Roman" w:hAnsi="Times New Roman"/>
          <w:noProof/>
        </w:rPr>
        <w:drawing>
          <wp:inline distT="0" distB="0" distL="0" distR="0" wp14:anchorId="7B4E51B5" wp14:editId="06A1931B">
            <wp:extent cx="6577965" cy="44323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77965" cy="4432300"/>
                    </a:xfrm>
                    <a:prstGeom prst="rect">
                      <a:avLst/>
                    </a:prstGeom>
                    <a:noFill/>
                  </pic:spPr>
                </pic:pic>
              </a:graphicData>
            </a:graphic>
          </wp:inline>
        </w:drawing>
      </w:r>
      <w:r w:rsidRPr="00371C1E">
        <w:rPr>
          <w:rFonts w:ascii="Times New Roman" w:hAnsi="Times New Roman"/>
          <w:noProof/>
          <w:lang w:val="en-GB" w:eastAsia="nl-NL"/>
        </w:rPr>
        <w:t xml:space="preserve"> </w:t>
      </w:r>
    </w:p>
    <w:p w14:paraId="11C54EE7" w14:textId="77777777" w:rsidR="00083096" w:rsidRPr="00083096" w:rsidRDefault="00083096" w:rsidP="005072E3">
      <w:pPr>
        <w:pStyle w:val="Heading2"/>
        <w:numPr>
          <w:ilvl w:val="0"/>
          <w:numId w:val="24"/>
        </w:numPr>
      </w:pPr>
      <w:r w:rsidRPr="00083096">
        <w:br w:type="page"/>
      </w:r>
      <w:bookmarkStart w:id="20" w:name="_Toc248295799"/>
      <w:bookmarkStart w:id="21" w:name="_Toc375467184"/>
      <w:bookmarkStart w:id="22" w:name="_Ref375467317"/>
      <w:bookmarkStart w:id="23" w:name="_Toc249429833"/>
      <w:r w:rsidRPr="00083096">
        <w:lastRenderedPageBreak/>
        <w:t>Het curriculum vormt een consistent en integratief geheel</w:t>
      </w:r>
      <w:bookmarkEnd w:id="20"/>
      <w:bookmarkEnd w:id="21"/>
      <w:bookmarkEnd w:id="22"/>
      <w:bookmarkEnd w:id="23"/>
    </w:p>
    <w:p w14:paraId="5970B328" w14:textId="77777777" w:rsidR="009E5A8D" w:rsidRDefault="009E5A8D" w:rsidP="005072E3">
      <w:bookmarkStart w:id="24" w:name="_Toc248295800"/>
    </w:p>
    <w:p w14:paraId="5395EB0F" w14:textId="77777777" w:rsidR="00083096" w:rsidRPr="00083096" w:rsidRDefault="00083096" w:rsidP="005072E3">
      <w:r w:rsidRPr="00083096">
        <w:t>Het curriculum als geheel is inhoudelijk consistent, waarbij eindtermen en leerdoelen zijn afgestemd op de toetsing en het gebruikte werkvormen</w:t>
      </w:r>
      <w:r w:rsidR="009E5A8D">
        <w:t xml:space="preserve"> (zie Toetsbeleid)</w:t>
      </w:r>
      <w:r w:rsidRPr="00083096">
        <w:t>. Alle afzonderlijke blokken dragen aantoonbaar bij aan het bereiken van de bachelor eindtermen en de voorbereiding op de master programma’s.  Opeenvolgende jaren bouwen op elkaar voort, waarbij eerst de nadruk ligt op het gezonde orgaan</w:t>
      </w:r>
      <w:r w:rsidR="009E5A8D">
        <w:t xml:space="preserve"> en technische basisconcepten</w:t>
      </w:r>
      <w:r w:rsidRPr="00083096">
        <w:t xml:space="preserve">, vervolgens de pathologie </w:t>
      </w:r>
      <w:r w:rsidR="009E5A8D">
        <w:t xml:space="preserve">en de fysische principes van medisch apparatuur </w:t>
      </w:r>
      <w:r w:rsidRPr="00083096">
        <w:t>en uiteindelijk de therapie</w:t>
      </w:r>
      <w:r w:rsidR="009E5A8D">
        <w:t xml:space="preserve"> en synthese</w:t>
      </w:r>
      <w:r w:rsidRPr="00083096">
        <w:t>. Er wordt expliciet aandacht besteed aan de integratie van klinische en technische wetenschap. Deze integratie is in het curriculum zowel binnen de vakken als tussen de vakken terug vinden met een toenemende diepte en verbreding</w:t>
      </w:r>
      <w:r w:rsidR="009E5A8D">
        <w:t xml:space="preserve"> (zie </w:t>
      </w:r>
      <w:hyperlink w:anchor="_Didactisch_concept" w:history="1">
        <w:r w:rsidR="009E5A8D" w:rsidRPr="009E5A8D">
          <w:rPr>
            <w:rStyle w:val="Hyperlink"/>
          </w:rPr>
          <w:t>Didactisch concept</w:t>
        </w:r>
      </w:hyperlink>
      <w:r w:rsidR="009E5A8D">
        <w:t>)</w:t>
      </w:r>
      <w:r w:rsidRPr="00083096">
        <w:t xml:space="preserve">. </w:t>
      </w:r>
      <w:bookmarkEnd w:id="24"/>
    </w:p>
    <w:p w14:paraId="39677D02" w14:textId="77777777" w:rsidR="00083096" w:rsidRPr="00083096" w:rsidRDefault="00083096" w:rsidP="005072E3">
      <w:pPr>
        <w:pStyle w:val="Heading3"/>
      </w:pPr>
      <w:bookmarkStart w:id="25" w:name="_Toc248295801"/>
      <w:r w:rsidRPr="00083096">
        <w:t>Waarom?</w:t>
      </w:r>
      <w:bookmarkEnd w:id="25"/>
    </w:p>
    <w:p w14:paraId="52339868" w14:textId="77777777" w:rsidR="00083096" w:rsidRPr="00083096" w:rsidRDefault="00083096" w:rsidP="005072E3">
      <w:bookmarkStart w:id="26" w:name="_Toc248295802"/>
      <w:r w:rsidRPr="00083096">
        <w:t xml:space="preserve">Een inhoudelijk consistent programma met een opbouw in niveau is </w:t>
      </w:r>
      <w:r w:rsidR="009E5A8D">
        <w:t xml:space="preserve">een belangrijke </w:t>
      </w:r>
      <w:r w:rsidRPr="00083096">
        <w:t>voorwaarde voor de ontwikkeling van diepere inzichten c.q. competentie op langere termijn</w:t>
      </w:r>
      <w:bookmarkEnd w:id="26"/>
      <w:r w:rsidR="009E5A8D">
        <w:t>.</w:t>
      </w:r>
    </w:p>
    <w:p w14:paraId="206AB017" w14:textId="77777777" w:rsidR="00083096" w:rsidRPr="00083096" w:rsidRDefault="00083096" w:rsidP="005072E3">
      <w:bookmarkStart w:id="27" w:name="_Toc248295803"/>
      <w:r w:rsidRPr="00083096">
        <w:t>Expliciete aandacht voor integratieve samenhangen tussen theorie en praktijk, probleemspecifiek en conceptueel niveau, onderwerp/discipline en multidisciplinariteit komt de effectiviteit van het leerproces en het bereikte niveau ten goede</w:t>
      </w:r>
      <w:bookmarkEnd w:id="27"/>
      <w:r w:rsidR="009E5A8D">
        <w:t>.</w:t>
      </w:r>
    </w:p>
    <w:p w14:paraId="37F221D2" w14:textId="77777777" w:rsidR="00F153E6" w:rsidRPr="00083096" w:rsidRDefault="003C2864" w:rsidP="005072E3">
      <w:pPr>
        <w:pStyle w:val="Heading3"/>
      </w:pPr>
      <w:r>
        <w:t xml:space="preserve">Voorbeelden </w:t>
      </w:r>
      <w:r w:rsidR="00F153E6" w:rsidRPr="00083096">
        <w:t xml:space="preserve">hoe dit </w:t>
      </w:r>
      <w:r w:rsidR="00F153E6">
        <w:t xml:space="preserve">principe </w:t>
      </w:r>
      <w:r w:rsidR="00F153E6" w:rsidRPr="00083096">
        <w:t>bereikt wordt</w:t>
      </w:r>
    </w:p>
    <w:p w14:paraId="5F08495B" w14:textId="77777777" w:rsidR="00083096" w:rsidRPr="00083096" w:rsidRDefault="00083096" w:rsidP="005072E3">
      <w:pPr>
        <w:numPr>
          <w:ilvl w:val="0"/>
          <w:numId w:val="18"/>
        </w:numPr>
      </w:pPr>
      <w:r w:rsidRPr="00083096">
        <w:t>Docenten worden bij de ontwikkeling van blokken gefaciliteerd in kennis over de andere blokken in het curriculum (middels inhoudelijke docentbijeenkomsten</w:t>
      </w:r>
      <w:r w:rsidR="00473BB0">
        <w:t xml:space="preserve"> en nieuwsbrieven</w:t>
      </w:r>
      <w:r w:rsidRPr="00083096">
        <w:t xml:space="preserve">). </w:t>
      </w:r>
      <w:r w:rsidR="00473BB0">
        <w:t>D</w:t>
      </w:r>
      <w:r w:rsidRPr="00083096">
        <w:t xml:space="preserve">ocenten wier blok aansluit op eerdere blokken </w:t>
      </w:r>
      <w:r w:rsidR="00473BB0">
        <w:t xml:space="preserve">worden </w:t>
      </w:r>
      <w:r w:rsidRPr="00083096">
        <w:t xml:space="preserve">met elkaar </w:t>
      </w:r>
      <w:r w:rsidR="00473BB0" w:rsidRPr="00083096">
        <w:t xml:space="preserve">in contact </w:t>
      </w:r>
      <w:r w:rsidRPr="00083096">
        <w:t xml:space="preserve">gebracht om overlap of gaten in stof te </w:t>
      </w:r>
      <w:r w:rsidR="00473BB0">
        <w:t>vermijden</w:t>
      </w:r>
      <w:r w:rsidRPr="00083096">
        <w:t xml:space="preserve">. </w:t>
      </w:r>
    </w:p>
    <w:p w14:paraId="5BF3209E" w14:textId="77777777" w:rsidR="00083096" w:rsidRPr="00083096" w:rsidRDefault="00083096" w:rsidP="005072E3">
      <w:pPr>
        <w:numPr>
          <w:ilvl w:val="0"/>
          <w:numId w:val="18"/>
        </w:numPr>
      </w:pPr>
      <w:r w:rsidRPr="00083096">
        <w:t>Bij elk blok zijn twee coördinatoren aangesteld die de technische en klinische kant vertegenwoordigen. Tijdens het ontwikkelen van het vak zijn deze coördinatoren bijeengekomen om inhoud en opdrachten op weekniveau met elkaar af te stemmen</w:t>
      </w:r>
      <w:r w:rsidR="00473BB0">
        <w:t xml:space="preserve"> en waar nodig additionele expertise in te schakelen</w:t>
      </w:r>
      <w:r w:rsidRPr="00083096">
        <w:t xml:space="preserve">. </w:t>
      </w:r>
    </w:p>
    <w:p w14:paraId="19373135" w14:textId="77777777" w:rsidR="00083096" w:rsidRPr="00083096" w:rsidRDefault="00083096" w:rsidP="005072E3">
      <w:pPr>
        <w:numPr>
          <w:ilvl w:val="0"/>
          <w:numId w:val="18"/>
        </w:numPr>
      </w:pPr>
      <w:r w:rsidRPr="00083096">
        <w:t xml:space="preserve">Tijdens elk blok zijn een aantal momenten (in de vorm van opdrachten of interactieve colleges) waar de integratie van de twee werkvelden binnen het vak specifiek kenbaar worden gemaakt. Een voorbeeld </w:t>
      </w:r>
      <w:r w:rsidR="00473BB0">
        <w:t xml:space="preserve">hiervan is bij het blok </w:t>
      </w:r>
      <w:r w:rsidR="00792442">
        <w:t>“</w:t>
      </w:r>
      <w:r w:rsidR="00473BB0">
        <w:t>Spierskeletsysteem en biomechanica 1</w:t>
      </w:r>
      <w:r w:rsidR="00792442">
        <w:t>”</w:t>
      </w:r>
      <w:r w:rsidR="00473BB0">
        <w:t xml:space="preserve"> waarbij de studenten een  integrerende opdracht krijgen over een persoon die mank loopt. Daarbij dient afgeleid te worden welke anatomische structuren een aandeel zouden kunnen hebben in het mank lopen waarna de studenten dienen te berekenen hoeveel krachtverlies in de spieren is opgetreden</w:t>
      </w:r>
      <w:r w:rsidR="00CE1561">
        <w:t xml:space="preserve"> door het uitvallen van een anatomische structuur</w:t>
      </w:r>
      <w:r w:rsidR="00473BB0">
        <w:t xml:space="preserve">. Een ander voorbeeld is bij het blok </w:t>
      </w:r>
      <w:r w:rsidR="00792442">
        <w:t>“</w:t>
      </w:r>
      <w:r w:rsidR="00473BB0">
        <w:t>Zintuigen, zenuwen en signalen 1</w:t>
      </w:r>
      <w:r w:rsidR="00792442">
        <w:t>”</w:t>
      </w:r>
      <w:r w:rsidR="00473BB0">
        <w:t xml:space="preserve">, waarbij in de laatste week een integrerend interactief hoorcollege gepland staat met als thema balanceren, omdat dat daar veel zintuigen en de zenuwen een rol spelen. </w:t>
      </w:r>
    </w:p>
    <w:p w14:paraId="207BD124" w14:textId="77777777" w:rsidR="002205E1" w:rsidRDefault="002205E1">
      <w:pPr>
        <w:jc w:val="left"/>
      </w:pPr>
      <w:r>
        <w:br w:type="page"/>
      </w:r>
    </w:p>
    <w:p w14:paraId="75676FA1" w14:textId="6B1F07D1" w:rsidR="00CE1561" w:rsidRPr="00083096" w:rsidRDefault="00083096" w:rsidP="005072E3">
      <w:pPr>
        <w:numPr>
          <w:ilvl w:val="0"/>
          <w:numId w:val="18"/>
        </w:numPr>
      </w:pPr>
      <w:r w:rsidRPr="00083096">
        <w:lastRenderedPageBreak/>
        <w:t xml:space="preserve">Er bestaan duidelijke lijnen tussen vakken, waardoor essentiële kennis wordt herhaald en verdiepend wordt toegepast op een andere context. Een voorbeeld hiervan is </w:t>
      </w:r>
      <w:r w:rsidR="00CE1561">
        <w:t>het blok</w:t>
      </w:r>
      <w:r w:rsidRPr="00083096">
        <w:t xml:space="preserve"> </w:t>
      </w:r>
      <w:r w:rsidR="00792442">
        <w:t>“</w:t>
      </w:r>
      <w:r w:rsidRPr="00083096">
        <w:t>Complexe diagnose-therapie combinaties</w:t>
      </w:r>
      <w:r w:rsidR="00792442">
        <w:t>”</w:t>
      </w:r>
      <w:r w:rsidRPr="00083096">
        <w:t>, d</w:t>
      </w:r>
      <w:r w:rsidR="00CE1561">
        <w:t>at</w:t>
      </w:r>
      <w:r w:rsidRPr="00083096">
        <w:t xml:space="preserve"> voortbouwt op de </w:t>
      </w:r>
      <w:r w:rsidR="00CE1561">
        <w:t>synthetische vaardigheden die in blok 15,16</w:t>
      </w:r>
      <w:r w:rsidRPr="00083096">
        <w:t xml:space="preserve"> en 20 zijn opgedaan</w:t>
      </w:r>
      <w:r w:rsidR="00CE1561">
        <w:t xml:space="preserve">, en de patiëntgerichte vaardigheden die in </w:t>
      </w:r>
      <w:r w:rsidR="00C127B5">
        <w:t xml:space="preserve">het </w:t>
      </w:r>
      <w:r w:rsidR="00CE1561">
        <w:t>lijn</w:t>
      </w:r>
      <w:r w:rsidR="00C127B5">
        <w:t>onderwijs</w:t>
      </w:r>
      <w:r w:rsidR="00CE1561">
        <w:t xml:space="preserve"> k</w:t>
      </w:r>
      <w:r w:rsidR="00CE1561">
        <w:rPr>
          <w:rFonts w:ascii="Times New Roman" w:hAnsi="Times New Roman"/>
        </w:rPr>
        <w:t>linische vaardigheden en professioneel gedrag zijn opgedaan</w:t>
      </w:r>
      <w:r w:rsidRPr="00083096">
        <w:t xml:space="preserve">. </w:t>
      </w:r>
      <w:r w:rsidR="00CE1561">
        <w:t>De genoemde</w:t>
      </w:r>
      <w:r w:rsidRPr="00083096">
        <w:t xml:space="preserve"> blokken bouwen op </w:t>
      </w:r>
      <w:r w:rsidR="00CE1561">
        <w:t xml:space="preserve">hun beurt voort op de </w:t>
      </w:r>
      <w:r w:rsidRPr="00083096">
        <w:t xml:space="preserve">blokken uit het eerste jaar van de bachelor.  </w:t>
      </w:r>
    </w:p>
    <w:p w14:paraId="1C32683B" w14:textId="77777777" w:rsidR="00083096" w:rsidRPr="00083096" w:rsidRDefault="00083096" w:rsidP="005072E3">
      <w:pPr>
        <w:pStyle w:val="Heading3"/>
        <w:rPr>
          <w:lang w:val="en-GB"/>
        </w:rPr>
      </w:pPr>
      <w:bookmarkStart w:id="28" w:name="_Toc248295806"/>
      <w:r w:rsidRPr="00083096">
        <w:rPr>
          <w:lang w:val="en-GB"/>
        </w:rPr>
        <w:t>Referenties</w:t>
      </w:r>
      <w:bookmarkEnd w:id="28"/>
    </w:p>
    <w:p w14:paraId="54D552E9" w14:textId="77777777" w:rsidR="00083096" w:rsidRPr="00083096" w:rsidRDefault="00083096" w:rsidP="005072E3">
      <w:pPr>
        <w:rPr>
          <w:lang w:val="en-GB"/>
        </w:rPr>
      </w:pPr>
      <w:bookmarkStart w:id="29" w:name="_Toc248295807"/>
      <w:r w:rsidRPr="00083096">
        <w:rPr>
          <w:lang w:val="en-GB"/>
        </w:rPr>
        <w:t xml:space="preserve">Biggs, J. (2011) </w:t>
      </w:r>
      <w:r w:rsidRPr="00083096">
        <w:rPr>
          <w:i/>
          <w:lang w:val="en-GB"/>
        </w:rPr>
        <w:t>Teaching for quality learning at university</w:t>
      </w:r>
      <w:r w:rsidRPr="00083096">
        <w:rPr>
          <w:lang w:val="en-GB"/>
        </w:rPr>
        <w:t>: Society for Research into Higher Education &amp; Open University Press;</w:t>
      </w:r>
      <w:bookmarkEnd w:id="29"/>
    </w:p>
    <w:p w14:paraId="16DA8652" w14:textId="77777777" w:rsidR="00083096" w:rsidRPr="00371C1E" w:rsidRDefault="00083096" w:rsidP="005072E3">
      <w:pPr>
        <w:rPr>
          <w:lang w:val="en-GB"/>
        </w:rPr>
      </w:pPr>
      <w:bookmarkStart w:id="30" w:name="_Toc248295808"/>
      <w:r w:rsidRPr="00371C1E">
        <w:t xml:space="preserve">Akker, J. van de (2003) Curriculum perspectives: an introduction. </w:t>
      </w:r>
      <w:r w:rsidRPr="00371C1E">
        <w:rPr>
          <w:lang w:val="en-GB"/>
        </w:rPr>
        <w:t xml:space="preserve">In: Akker, J.vd, Kuiper, W., Hameyer U. (eds). </w:t>
      </w:r>
      <w:r w:rsidRPr="00371C1E">
        <w:rPr>
          <w:i/>
          <w:lang w:val="en-GB"/>
        </w:rPr>
        <w:t>Curriculum landscapes and trends</w:t>
      </w:r>
      <w:r w:rsidRPr="00371C1E">
        <w:rPr>
          <w:lang w:val="en-GB"/>
        </w:rPr>
        <w:t>. Dordrecht: Kluwer Academic Publishers, pp 1-10.</w:t>
      </w:r>
      <w:bookmarkEnd w:id="30"/>
    </w:p>
    <w:p w14:paraId="585FAAD0" w14:textId="77777777" w:rsidR="00CE1561" w:rsidRPr="00371C1E" w:rsidRDefault="00CE1561" w:rsidP="005072E3">
      <w:pPr>
        <w:pStyle w:val="Heading2"/>
        <w:rPr>
          <w:lang w:val="en-GB"/>
        </w:rPr>
      </w:pPr>
    </w:p>
    <w:p w14:paraId="6928E226" w14:textId="77777777" w:rsidR="00083096" w:rsidRPr="00083096" w:rsidRDefault="00083096" w:rsidP="005072E3">
      <w:pPr>
        <w:pStyle w:val="Heading2"/>
        <w:numPr>
          <w:ilvl w:val="0"/>
          <w:numId w:val="24"/>
        </w:numPr>
      </w:pPr>
      <w:bookmarkStart w:id="31" w:name="_Toc249429834"/>
      <w:r w:rsidRPr="00083096">
        <w:t>De didactische vormgeving van het onderwijs is erop gericht om studenten te laten groeien tot zelfstandigheid</w:t>
      </w:r>
      <w:bookmarkEnd w:id="31"/>
    </w:p>
    <w:p w14:paraId="6078BDEB" w14:textId="77777777" w:rsidR="00473BB0" w:rsidRDefault="00473BB0" w:rsidP="005072E3">
      <w:bookmarkStart w:id="32" w:name="_Toc248295810"/>
    </w:p>
    <w:p w14:paraId="131AD2B7" w14:textId="77777777" w:rsidR="00083096" w:rsidRPr="00083096" w:rsidRDefault="00083096" w:rsidP="005072E3">
      <w:r w:rsidRPr="00083096">
        <w:t xml:space="preserve">De didactische vormgeving van blokken stimuleert actieve verwerking van de leerstof. Studenten maken </w:t>
      </w:r>
      <w:r w:rsidR="0005208C" w:rsidRPr="00083096">
        <w:t xml:space="preserve">aan de ene kant </w:t>
      </w:r>
      <w:r w:rsidRPr="00083096">
        <w:t xml:space="preserve">kennis met experts </w:t>
      </w:r>
      <w:r w:rsidR="00656E2A">
        <w:t>in</w:t>
      </w:r>
      <w:r w:rsidRPr="00083096">
        <w:t xml:space="preserve"> bepaalde </w:t>
      </w:r>
      <w:r w:rsidR="00656E2A">
        <w:t>disciplines</w:t>
      </w:r>
      <w:r w:rsidRPr="00083096">
        <w:t xml:space="preserve">, en krijgen aan de andere kant de ervaring door zelf uit te proberen, zelf te ervaren, te experimenteren en te oefenen. Als richtlijn wordt </w:t>
      </w:r>
      <w:r w:rsidR="00656E2A">
        <w:t>aan</w:t>
      </w:r>
      <w:r w:rsidRPr="00083096">
        <w:t xml:space="preserve">gehouden dat ongeveer een kwart van de tijd per blok wordt besteed onder leiding van experts, een kwart van de tijd wordt besteed aan oefening onder begeleiding en de overige tijd zelfstudie. Studenten worden vanaf het begin van de bachelor gestimuleerd tot kennis-(re)constructie, betekenisverlening en een diepere verwerking van leerstof in samenwerkingsverband. Door de bachelor heen worden de opdrachten complexer en minder gestructureerd waardoor studenten steeds zelfstandiger kunnen worden. </w:t>
      </w:r>
      <w:bookmarkEnd w:id="32"/>
    </w:p>
    <w:p w14:paraId="07127101" w14:textId="77777777" w:rsidR="00083096" w:rsidRPr="00083096" w:rsidRDefault="00083096" w:rsidP="005072E3">
      <w:pPr>
        <w:pStyle w:val="Heading3"/>
      </w:pPr>
      <w:bookmarkStart w:id="33" w:name="_Toc248295811"/>
      <w:r w:rsidRPr="00083096">
        <w:t>Waarom?</w:t>
      </w:r>
      <w:bookmarkEnd w:id="33"/>
    </w:p>
    <w:p w14:paraId="21112F9A" w14:textId="77777777" w:rsidR="00156644" w:rsidRDefault="00083096" w:rsidP="005072E3">
      <w:bookmarkStart w:id="34" w:name="_Toc248295812"/>
      <w:r w:rsidRPr="00083096">
        <w:t xml:space="preserve">Door </w:t>
      </w:r>
      <w:r w:rsidR="00656E2A">
        <w:t xml:space="preserve">klinische, basale en technische </w:t>
      </w:r>
      <w:r w:rsidRPr="00083096">
        <w:t>experts onderwijs te laten geven, krijgen studenten goed inzicht in de</w:t>
      </w:r>
      <w:r w:rsidR="00656E2A">
        <w:t xml:space="preserve"> heersende gedachten en methoden in de</w:t>
      </w:r>
      <w:r w:rsidRPr="00083096">
        <w:t xml:space="preserve"> werkvelden</w:t>
      </w:r>
      <w:r w:rsidR="00656E2A">
        <w:t xml:space="preserve">. </w:t>
      </w:r>
      <w:r w:rsidRPr="00083096">
        <w:t>Met dit als basis, kunnen studenten via activerende didactiek o</w:t>
      </w:r>
      <w:r w:rsidR="0005208C">
        <w:t xml:space="preserve">nder </w:t>
      </w:r>
      <w:r w:rsidRPr="00083096">
        <w:t>a</w:t>
      </w:r>
      <w:r w:rsidR="0005208C">
        <w:t>ndere</w:t>
      </w:r>
      <w:r w:rsidRPr="00083096">
        <w:t xml:space="preserve"> zelf verbanden leggen tussen belangrijke concepten, de betekenis </w:t>
      </w:r>
      <w:r w:rsidR="0005208C" w:rsidRPr="00083096">
        <w:t xml:space="preserve">van inzichten </w:t>
      </w:r>
      <w:r w:rsidR="0005208C">
        <w:t xml:space="preserve">begrijpen </w:t>
      </w:r>
      <w:r w:rsidRPr="00083096">
        <w:t xml:space="preserve">en </w:t>
      </w:r>
      <w:r w:rsidR="0005208C">
        <w:t xml:space="preserve">hun </w:t>
      </w:r>
      <w:r w:rsidRPr="00083096">
        <w:t xml:space="preserve">toepasbaarheid </w:t>
      </w:r>
      <w:r w:rsidR="0005208C">
        <w:t>verkennen. Z</w:t>
      </w:r>
      <w:r w:rsidRPr="00083096">
        <w:t xml:space="preserve">o </w:t>
      </w:r>
      <w:r w:rsidR="0005208C">
        <w:t xml:space="preserve">ontwikkelen zij </w:t>
      </w:r>
      <w:r w:rsidRPr="00083096">
        <w:t xml:space="preserve">de competenties die nodig zijn als klinisch technoloog. Zelf verbanden leggen </w:t>
      </w:r>
      <w:r w:rsidR="0005208C">
        <w:t xml:space="preserve">over vakgebieden heen </w:t>
      </w:r>
      <w:r w:rsidRPr="00083096">
        <w:t xml:space="preserve">en betekenis verlenen helpt </w:t>
      </w:r>
      <w:r w:rsidR="0005208C">
        <w:t xml:space="preserve">om de </w:t>
      </w:r>
      <w:r w:rsidRPr="00083096">
        <w:t>kennis beter te kunnen onthouden en gebruiken</w:t>
      </w:r>
      <w:bookmarkEnd w:id="34"/>
      <w:r w:rsidR="0005208C">
        <w:t xml:space="preserve">. Dit is voor deze studenten noodzakelijk omdat zij </w:t>
      </w:r>
      <w:r w:rsidR="00656E2A">
        <w:t xml:space="preserve">in staat </w:t>
      </w:r>
      <w:r w:rsidR="0005208C">
        <w:t xml:space="preserve">gaan </w:t>
      </w:r>
      <w:r w:rsidR="00656E2A">
        <w:t xml:space="preserve">zijn om </w:t>
      </w:r>
      <w:r w:rsidR="0005208C">
        <w:t xml:space="preserve">in een multidisciplinaire omgeving </w:t>
      </w:r>
      <w:r w:rsidR="00656E2A">
        <w:t>te</w:t>
      </w:r>
      <w:r w:rsidR="00656E2A" w:rsidRPr="00083096">
        <w:t xml:space="preserve"> fungeren.</w:t>
      </w:r>
    </w:p>
    <w:p w14:paraId="6985E184" w14:textId="019187F9" w:rsidR="00083096" w:rsidRPr="00083096" w:rsidRDefault="00083096" w:rsidP="005072E3">
      <w:r w:rsidRPr="00083096">
        <w:t xml:space="preserve">Naarmate opdrachten uitdagender worden, wordt een groter beroep gedaan op het probleem-oplossend denken wat essentieel is in de latere arbeidscontext van de klinisch technoloog. </w:t>
      </w:r>
    </w:p>
    <w:p w14:paraId="7DF63A25" w14:textId="77777777" w:rsidR="002205E1" w:rsidRDefault="002205E1">
      <w:pPr>
        <w:jc w:val="left"/>
        <w:rPr>
          <w:rFonts w:asciiTheme="majorHAnsi" w:eastAsiaTheme="majorEastAsia" w:hAnsiTheme="majorHAnsi" w:cstheme="majorBidi"/>
          <w:b/>
          <w:bCs/>
        </w:rPr>
      </w:pPr>
      <w:bookmarkStart w:id="35" w:name="_Toc248295814"/>
      <w:r>
        <w:br w:type="page"/>
      </w:r>
    </w:p>
    <w:p w14:paraId="502980F5" w14:textId="4913216D" w:rsidR="00083096" w:rsidRPr="00083096" w:rsidRDefault="00083096" w:rsidP="005072E3">
      <w:pPr>
        <w:pStyle w:val="Heading3"/>
      </w:pPr>
      <w:r w:rsidRPr="00083096">
        <w:lastRenderedPageBreak/>
        <w:t xml:space="preserve">Voorbeelden hoe dit </w:t>
      </w:r>
      <w:r w:rsidR="00F153E6">
        <w:t xml:space="preserve">principe </w:t>
      </w:r>
      <w:r w:rsidRPr="00083096">
        <w:t>bereikt wordt</w:t>
      </w:r>
      <w:bookmarkEnd w:id="35"/>
    </w:p>
    <w:p w14:paraId="63452872" w14:textId="77777777" w:rsidR="00F153E6" w:rsidRDefault="00083096" w:rsidP="005072E3">
      <w:pPr>
        <w:numPr>
          <w:ilvl w:val="0"/>
          <w:numId w:val="19"/>
        </w:numPr>
      </w:pPr>
      <w:r w:rsidRPr="00083096">
        <w:t>Docenten die een rol spelen in het onderwijs</w:t>
      </w:r>
      <w:r w:rsidR="007D3F93">
        <w:t>, zijn benaderd vanwege</w:t>
      </w:r>
      <w:r w:rsidRPr="00083096">
        <w:t xml:space="preserve"> hun expertise op het vakgebied</w:t>
      </w:r>
      <w:r w:rsidR="0005208C">
        <w:t>. Een deel van het docententeam vervult binnen hun onderzoeksgebied al een multidisciplinaire rol waarbij het medische en technische samenkomen</w:t>
      </w:r>
      <w:r w:rsidRPr="00083096">
        <w:t xml:space="preserve">. </w:t>
      </w:r>
    </w:p>
    <w:p w14:paraId="6F2D7766" w14:textId="77777777" w:rsidR="00083096" w:rsidRPr="00083096" w:rsidRDefault="00083096" w:rsidP="005072E3">
      <w:pPr>
        <w:numPr>
          <w:ilvl w:val="0"/>
          <w:numId w:val="19"/>
        </w:numPr>
      </w:pPr>
      <w:r w:rsidRPr="00083096">
        <w:t xml:space="preserve">Doordat docenten veelal hun Basiskwalificatie Onderwijs hebben gehaald, </w:t>
      </w:r>
      <w:r w:rsidR="00F153E6">
        <w:t xml:space="preserve">wordt </w:t>
      </w:r>
      <w:r w:rsidRPr="00083096">
        <w:t>verwacht dat zij binnen hun blok een eventwichtige afwisseling hebben in werkvormen en waar mogelijk frontaal onderwijs interactief maken. Dit kan gedaan worden door korte opdrachten tussendoor of het stellen van vragen</w:t>
      </w:r>
      <w:r w:rsidR="007D3F93">
        <w:t xml:space="preserve"> al dan niet met behulp van digitale interactive voting systemen</w:t>
      </w:r>
      <w:r w:rsidRPr="00083096">
        <w:t xml:space="preserve">. </w:t>
      </w:r>
    </w:p>
    <w:p w14:paraId="3E4A8A07" w14:textId="77777777" w:rsidR="00083096" w:rsidRPr="00083096" w:rsidRDefault="00F153E6" w:rsidP="005072E3">
      <w:pPr>
        <w:numPr>
          <w:ilvl w:val="0"/>
          <w:numId w:val="19"/>
        </w:numPr>
      </w:pPr>
      <w:r>
        <w:t>In het begin van de opleiding doen de</w:t>
      </w:r>
      <w:r w:rsidR="00083096" w:rsidRPr="00083096">
        <w:t xml:space="preserve"> studenten ervaring op</w:t>
      </w:r>
      <w:r>
        <w:t xml:space="preserve"> </w:t>
      </w:r>
      <w:r w:rsidR="00083096" w:rsidRPr="00083096">
        <w:t>in het werken in groepen, waar</w:t>
      </w:r>
      <w:r>
        <w:t xml:space="preserve">na in een latere fase de </w:t>
      </w:r>
      <w:r w:rsidR="00083096" w:rsidRPr="00083096">
        <w:t xml:space="preserve">opdrachten </w:t>
      </w:r>
      <w:r>
        <w:t xml:space="preserve">die in groepsverband worden uitgewerkt </w:t>
      </w:r>
      <w:r w:rsidR="00083096" w:rsidRPr="00083096">
        <w:t xml:space="preserve">complexer en authentieker kunnen worden. Een voorbeeld hiervan is de </w:t>
      </w:r>
      <w:r>
        <w:t>ontwerp</w:t>
      </w:r>
      <w:r w:rsidR="00083096" w:rsidRPr="00083096">
        <w:t>opdracht in blok  “Ontwerpen medische technologie”</w:t>
      </w:r>
      <w:r w:rsidR="00792442">
        <w:t>,</w:t>
      </w:r>
      <w:r w:rsidR="00083096" w:rsidRPr="00083096">
        <w:t xml:space="preserve"> </w:t>
      </w:r>
      <w:r w:rsidR="00792442">
        <w:t>w</w:t>
      </w:r>
      <w:r w:rsidR="00083096" w:rsidRPr="00083096">
        <w:t xml:space="preserve">aar studenten de volledige ontwerpcyclus doorlopen </w:t>
      </w:r>
      <w:r>
        <w:t xml:space="preserve">op basis van een medische probleem </w:t>
      </w:r>
      <w:r w:rsidR="00792442">
        <w:t>om hun synthetische vaardigheden te trainen.</w:t>
      </w:r>
      <w:r w:rsidR="00D731CF">
        <w:t xml:space="preserve"> Zij </w:t>
      </w:r>
      <w:r w:rsidR="00083096" w:rsidRPr="00083096">
        <w:t xml:space="preserve">worden </w:t>
      </w:r>
      <w:r w:rsidR="00D731CF">
        <w:t xml:space="preserve">daarbij </w:t>
      </w:r>
      <w:r w:rsidR="00083096" w:rsidRPr="00083096">
        <w:t xml:space="preserve">getoetst op </w:t>
      </w:r>
      <w:r w:rsidR="007D3F93">
        <w:t>Miller</w:t>
      </w:r>
      <w:r w:rsidR="00083096" w:rsidRPr="00083096">
        <w:t xml:space="preserve"> niveau </w:t>
      </w:r>
      <w:r w:rsidR="007D3F93">
        <w:t>3 (</w:t>
      </w:r>
      <w:r w:rsidR="00083096" w:rsidRPr="00083096">
        <w:t>Shows how</w:t>
      </w:r>
      <w:r w:rsidR="007D3F93">
        <w:t>)</w:t>
      </w:r>
      <w:r w:rsidR="00083096" w:rsidRPr="00083096">
        <w:t xml:space="preserve">. Een ander voorbeeld is de </w:t>
      </w:r>
      <w:r w:rsidR="00D731CF">
        <w:t>“Z</w:t>
      </w:r>
      <w:r w:rsidR="00083096" w:rsidRPr="00083096">
        <w:t>orgstage</w:t>
      </w:r>
      <w:r w:rsidR="00D731CF">
        <w:t>”</w:t>
      </w:r>
      <w:r w:rsidR="00083096" w:rsidRPr="00083096">
        <w:t xml:space="preserve"> waar studenten voor het eerst zelfstandig verantwoordelijk zijn in een voor hen later authentieke setting. </w:t>
      </w:r>
    </w:p>
    <w:p w14:paraId="4C9DFFB1" w14:textId="77777777" w:rsidR="00083096" w:rsidRPr="00083096" w:rsidRDefault="00083096" w:rsidP="005072E3">
      <w:pPr>
        <w:numPr>
          <w:ilvl w:val="0"/>
          <w:numId w:val="19"/>
        </w:numPr>
      </w:pPr>
      <w:r w:rsidRPr="00083096">
        <w:t xml:space="preserve">Het </w:t>
      </w:r>
      <w:r w:rsidR="00D731CF">
        <w:t>“K</w:t>
      </w:r>
      <w:r w:rsidR="007D3F93">
        <w:t xml:space="preserve">linisch-technologisch </w:t>
      </w:r>
      <w:r w:rsidRPr="00083096">
        <w:t>eindproject</w:t>
      </w:r>
      <w:r w:rsidR="00D731CF">
        <w:t>”</w:t>
      </w:r>
      <w:r w:rsidRPr="00083096">
        <w:t xml:space="preserve"> </w:t>
      </w:r>
      <w:r w:rsidR="007D3F93">
        <w:t xml:space="preserve">is </w:t>
      </w:r>
      <w:r w:rsidRPr="00083096">
        <w:t xml:space="preserve">het laatste project </w:t>
      </w:r>
      <w:r w:rsidR="007D3F93">
        <w:t>waar</w:t>
      </w:r>
      <w:r w:rsidRPr="00083096">
        <w:t xml:space="preserve">bij de meeste zelfstandigheid </w:t>
      </w:r>
      <w:r w:rsidR="007D3F93">
        <w:t>van</w:t>
      </w:r>
      <w:r w:rsidRPr="00083096">
        <w:t xml:space="preserve"> de studenten</w:t>
      </w:r>
      <w:r w:rsidR="007D3F93">
        <w:t xml:space="preserve"> gevraagd wordt</w:t>
      </w:r>
      <w:r w:rsidRPr="00083096">
        <w:t xml:space="preserve">. Zij schrijven zich in op een onderwerp en zijn vervolgens verantwoordelijk voor het opstellen van een innovatieve </w:t>
      </w:r>
      <w:r w:rsidR="00792442">
        <w:t xml:space="preserve">hypothese, </w:t>
      </w:r>
      <w:r w:rsidR="00F153E6">
        <w:t xml:space="preserve">het </w:t>
      </w:r>
      <w:r w:rsidR="00792442">
        <w:t>bepalen van de relevante uitkomstmaten en methode</w:t>
      </w:r>
      <w:r w:rsidR="00F153E6">
        <w:t>(n)</w:t>
      </w:r>
      <w:r w:rsidR="00792442">
        <w:t xml:space="preserve"> van hypothesetoetsen</w:t>
      </w:r>
      <w:r w:rsidRPr="00083096">
        <w:t>. De plenaire bijeenkomsten zijn minimaal, waardoor studenten de vrijheid krijgen om zelfstandig aan de slag te gaan. Alle stappen en beslissingen die zij genomen hebben worden in een later stadium aan een groep anders dan de begeleiders gepresenteerd</w:t>
      </w:r>
      <w:r w:rsidR="00F153E6">
        <w:t xml:space="preserve"> en verdedigd</w:t>
      </w:r>
      <w:r w:rsidRPr="00083096">
        <w:t xml:space="preserve">.   </w:t>
      </w:r>
    </w:p>
    <w:p w14:paraId="6466F846" w14:textId="77777777" w:rsidR="00083096" w:rsidRPr="00083096" w:rsidRDefault="00083096" w:rsidP="005072E3">
      <w:pPr>
        <w:pStyle w:val="Heading3"/>
      </w:pPr>
      <w:bookmarkStart w:id="36" w:name="_Toc248295818"/>
      <w:r w:rsidRPr="00083096">
        <w:t>Referenties</w:t>
      </w:r>
      <w:bookmarkEnd w:id="36"/>
    </w:p>
    <w:p w14:paraId="5D4F8080" w14:textId="77777777" w:rsidR="00083096" w:rsidRPr="00083096" w:rsidRDefault="00083096" w:rsidP="005072E3">
      <w:pPr>
        <w:rPr>
          <w:lang w:val="en-GB"/>
        </w:rPr>
      </w:pPr>
      <w:bookmarkStart w:id="37" w:name="_Toc248295820"/>
      <w:r w:rsidRPr="00083096">
        <w:t xml:space="preserve">Schmidt, H. G., Cohen-Schotanus, J., van der Molen, H. T., Splinter, T. A., Bulte, J., Holdrinet, R., &amp; van Rossum, H. J. (2010). </w:t>
      </w:r>
      <w:r w:rsidRPr="00083096">
        <w:rPr>
          <w:lang w:val="en-GB"/>
        </w:rPr>
        <w:t xml:space="preserve">Learning more by being taught less: a “time-for-self-study” theory explaining curricular effects on graduation rate and study duration. </w:t>
      </w:r>
      <w:r w:rsidRPr="00083096">
        <w:rPr>
          <w:i/>
          <w:iCs/>
          <w:lang w:val="en-GB"/>
        </w:rPr>
        <w:t>Higher Education</w:t>
      </w:r>
      <w:r w:rsidRPr="00083096">
        <w:rPr>
          <w:lang w:val="en-GB"/>
        </w:rPr>
        <w:t xml:space="preserve">, </w:t>
      </w:r>
      <w:r w:rsidRPr="00083096">
        <w:rPr>
          <w:i/>
          <w:iCs/>
          <w:lang w:val="en-GB"/>
        </w:rPr>
        <w:t>60</w:t>
      </w:r>
      <w:r w:rsidRPr="00083096">
        <w:rPr>
          <w:lang w:val="en-GB"/>
        </w:rPr>
        <w:t>(3), 287-300.</w:t>
      </w:r>
    </w:p>
    <w:bookmarkEnd w:id="37"/>
    <w:p w14:paraId="4E019DFE" w14:textId="77777777" w:rsidR="00083096" w:rsidRPr="00083096" w:rsidRDefault="00083096" w:rsidP="005072E3">
      <w:r w:rsidRPr="000276EB">
        <w:rPr>
          <w:lang w:val="en-GB"/>
        </w:rPr>
        <w:t xml:space="preserve">Vermunt, J. D., &amp; Verloop, N. (1999). </w:t>
      </w:r>
      <w:r w:rsidRPr="00083096">
        <w:rPr>
          <w:lang w:val="en-GB"/>
        </w:rPr>
        <w:t xml:space="preserve">Congruence and friction between learning and teaching. </w:t>
      </w:r>
      <w:r w:rsidRPr="00083096">
        <w:rPr>
          <w:i/>
          <w:iCs/>
        </w:rPr>
        <w:t>Learning and instruction</w:t>
      </w:r>
      <w:r w:rsidRPr="00083096">
        <w:t xml:space="preserve">, </w:t>
      </w:r>
      <w:r w:rsidRPr="00083096">
        <w:rPr>
          <w:i/>
          <w:iCs/>
        </w:rPr>
        <w:t>9</w:t>
      </w:r>
      <w:r w:rsidRPr="00083096">
        <w:t>(3), 257-280.</w:t>
      </w:r>
    </w:p>
    <w:p w14:paraId="2F16FDE7" w14:textId="77777777" w:rsidR="00083096" w:rsidRPr="00E92897" w:rsidRDefault="00083096" w:rsidP="005072E3"/>
    <w:p w14:paraId="3F79022B" w14:textId="77777777" w:rsidR="002205E1" w:rsidRDefault="002205E1">
      <w:pPr>
        <w:jc w:val="left"/>
        <w:rPr>
          <w:rFonts w:asciiTheme="majorHAnsi" w:eastAsiaTheme="majorEastAsia" w:hAnsiTheme="majorHAnsi" w:cstheme="majorBidi"/>
          <w:b/>
          <w:bCs/>
          <w:sz w:val="26"/>
          <w:szCs w:val="26"/>
        </w:rPr>
      </w:pPr>
      <w:bookmarkStart w:id="38" w:name="_Toc248295821"/>
      <w:bookmarkStart w:id="39" w:name="_Toc249429835"/>
      <w:r>
        <w:br w:type="page"/>
      </w:r>
    </w:p>
    <w:p w14:paraId="4762C05D" w14:textId="559E92F7" w:rsidR="00083096" w:rsidRPr="00083096" w:rsidRDefault="00083096" w:rsidP="005072E3">
      <w:pPr>
        <w:pStyle w:val="Heading2"/>
        <w:numPr>
          <w:ilvl w:val="0"/>
          <w:numId w:val="24"/>
        </w:numPr>
      </w:pPr>
      <w:r w:rsidRPr="00083096">
        <w:lastRenderedPageBreak/>
        <w:t>Verwerving en toepassing van nieuwe kennis en vaardigheden vinden plaats in een voor klinisch technologen relevante context</w:t>
      </w:r>
      <w:bookmarkEnd w:id="38"/>
      <w:bookmarkEnd w:id="39"/>
      <w:r w:rsidRPr="00083096">
        <w:t xml:space="preserve"> </w:t>
      </w:r>
    </w:p>
    <w:p w14:paraId="327A9983" w14:textId="77777777" w:rsidR="00E92897" w:rsidRDefault="00E92897" w:rsidP="005072E3">
      <w:bookmarkStart w:id="40" w:name="_Toc248295822"/>
    </w:p>
    <w:p w14:paraId="245FF562" w14:textId="77777777" w:rsidR="00083096" w:rsidRPr="00083096" w:rsidRDefault="00083096" w:rsidP="005072E3">
      <w:r w:rsidRPr="00083096">
        <w:t>Bij de uitwerking van blokken worden vragen,</w:t>
      </w:r>
      <w:r w:rsidR="00F153E6">
        <w:t xml:space="preserve"> opgaves, opdrachten, projecten</w:t>
      </w:r>
      <w:r w:rsidRPr="00083096">
        <w:t xml:space="preserve"> gebruikt die representatief zijn voor de werkzaamheden, vraagstukken en problemen die zich kunnen voordoen in een functie als k</w:t>
      </w:r>
      <w:r w:rsidR="00F153E6">
        <w:t>linisch technoloog. De medisch-technische</w:t>
      </w:r>
      <w:r w:rsidRPr="00083096">
        <w:t xml:space="preserve"> omgeving wordt gebruikt als relevante context om </w:t>
      </w:r>
      <w:r w:rsidR="00F153E6">
        <w:t xml:space="preserve">de </w:t>
      </w:r>
      <w:r w:rsidRPr="00083096">
        <w:t>leerstof eigen te maken. Specifieke problemen en hun oplossingen worden gekoppeld aan generalisaties, abstractie en toepassing op nieuwe vraagstukken.</w:t>
      </w:r>
      <w:bookmarkEnd w:id="40"/>
    </w:p>
    <w:p w14:paraId="10556C53" w14:textId="77777777" w:rsidR="00083096" w:rsidRPr="00083096" w:rsidRDefault="00083096" w:rsidP="005072E3">
      <w:pPr>
        <w:pStyle w:val="Heading3"/>
      </w:pPr>
      <w:bookmarkStart w:id="41" w:name="_Toc248295823"/>
      <w:r w:rsidRPr="00083096">
        <w:t>Waarom?</w:t>
      </w:r>
      <w:bookmarkEnd w:id="41"/>
    </w:p>
    <w:p w14:paraId="382956B6" w14:textId="77777777" w:rsidR="00083096" w:rsidRPr="00083096" w:rsidRDefault="00083096" w:rsidP="005072E3">
      <w:pPr>
        <w:pStyle w:val="NoSpacing"/>
      </w:pPr>
      <w:bookmarkStart w:id="42" w:name="_Toc248295824"/>
      <w:r w:rsidRPr="00083096">
        <w:t>Studenten leren effectiever in onderwijs dat de benodigde theorie plaatst in de daarbij relevante context</w:t>
      </w:r>
      <w:bookmarkEnd w:id="42"/>
      <w:r w:rsidR="00F153E6">
        <w:t>.</w:t>
      </w:r>
    </w:p>
    <w:p w14:paraId="24F0648D" w14:textId="77777777" w:rsidR="00083096" w:rsidRPr="00083096" w:rsidRDefault="00083096" w:rsidP="005072E3">
      <w:pPr>
        <w:pStyle w:val="NoSpacing"/>
      </w:pPr>
      <w:bookmarkStart w:id="43" w:name="_Toc248295825"/>
      <w:r w:rsidRPr="00083096">
        <w:t>Inzicht in de relevantie en een ervaren noodzakelijkheid van de theorie draagt bij aan de motivatie om deze eigen te maken</w:t>
      </w:r>
      <w:bookmarkEnd w:id="43"/>
      <w:r w:rsidR="00F153E6">
        <w:t>.</w:t>
      </w:r>
    </w:p>
    <w:p w14:paraId="354E464C" w14:textId="77777777" w:rsidR="00083096" w:rsidRPr="00083096" w:rsidRDefault="00083096" w:rsidP="005072E3">
      <w:pPr>
        <w:pStyle w:val="NoSpacing"/>
      </w:pPr>
      <w:bookmarkStart w:id="44" w:name="_Toc248295826"/>
      <w:r w:rsidRPr="00083096">
        <w:t xml:space="preserve">Een wisselwerking tussen theorie en praktische toepassing draagt bij aan diepere verwerking van </w:t>
      </w:r>
      <w:r w:rsidR="00C127B5">
        <w:t xml:space="preserve">de </w:t>
      </w:r>
      <w:r w:rsidRPr="00083096">
        <w:t>leerstof</w:t>
      </w:r>
      <w:bookmarkEnd w:id="44"/>
      <w:r w:rsidRPr="00083096">
        <w:t xml:space="preserve">. </w:t>
      </w:r>
    </w:p>
    <w:p w14:paraId="16EB999E" w14:textId="77777777" w:rsidR="00F153E6" w:rsidRPr="00083096" w:rsidRDefault="003C2864" w:rsidP="005072E3">
      <w:pPr>
        <w:pStyle w:val="Heading3"/>
      </w:pPr>
      <w:r>
        <w:t xml:space="preserve">Voorbeelden </w:t>
      </w:r>
      <w:r w:rsidR="00F153E6" w:rsidRPr="00083096">
        <w:t xml:space="preserve">hoe dit </w:t>
      </w:r>
      <w:r w:rsidR="00F153E6">
        <w:t xml:space="preserve">principe </w:t>
      </w:r>
      <w:r w:rsidR="00F153E6" w:rsidRPr="00083096">
        <w:t>bereikt wordt</w:t>
      </w:r>
    </w:p>
    <w:p w14:paraId="67710B3A" w14:textId="77777777" w:rsidR="00083096" w:rsidRPr="00083096" w:rsidRDefault="00083096" w:rsidP="005072E3">
      <w:pPr>
        <w:numPr>
          <w:ilvl w:val="0"/>
          <w:numId w:val="20"/>
        </w:numPr>
      </w:pPr>
      <w:r w:rsidRPr="00083096">
        <w:t xml:space="preserve">Tijdens het lijnonderwijs </w:t>
      </w:r>
      <w:r w:rsidR="00C127B5">
        <w:t xml:space="preserve">“klinische vaardigheden en professioneel gedrag” </w:t>
      </w:r>
      <w:r w:rsidRPr="00083096">
        <w:t xml:space="preserve">in het eerste blok wordt een cursus EHBO gegeven. Hier wordt direct kennis gemaakt met de acute geneeskunde door middel van </w:t>
      </w:r>
      <w:r w:rsidR="00C127B5">
        <w:t>practica en ziet de student direct waar hij/zij het allemaal voor doet: bijdrage aan de veilige en doelmatige behandeling van patiënten</w:t>
      </w:r>
      <w:r w:rsidRPr="00083096">
        <w:t xml:space="preserve">. </w:t>
      </w:r>
    </w:p>
    <w:p w14:paraId="76C89F30" w14:textId="77777777" w:rsidR="00083096" w:rsidRPr="00083096" w:rsidRDefault="00083096" w:rsidP="005072E3">
      <w:pPr>
        <w:numPr>
          <w:ilvl w:val="0"/>
          <w:numId w:val="20"/>
        </w:numPr>
      </w:pPr>
      <w:r w:rsidRPr="00083096">
        <w:t>In het lijnonderwijs</w:t>
      </w:r>
      <w:r w:rsidR="00C127B5" w:rsidRPr="00083096">
        <w:t xml:space="preserve"> </w:t>
      </w:r>
      <w:r w:rsidR="00C127B5">
        <w:t xml:space="preserve">“klinische vaardigheden en professioneel gedrag” </w:t>
      </w:r>
      <w:r w:rsidRPr="00083096">
        <w:t xml:space="preserve"> is gedurende alle jaren van de bachelor veel tijd voor het oefenen van gesprektechnieken en het afnemen van anamneses op de </w:t>
      </w:r>
      <w:r w:rsidR="00C127B5">
        <w:t>wijze zoals verwacht wordt</w:t>
      </w:r>
      <w:r w:rsidRPr="00083096">
        <w:t xml:space="preserve"> in het werkveld.</w:t>
      </w:r>
    </w:p>
    <w:p w14:paraId="2B6B7CC6" w14:textId="77777777" w:rsidR="002205E1" w:rsidRPr="00036CC0" w:rsidRDefault="002205E1" w:rsidP="002205E1">
      <w:pPr>
        <w:pStyle w:val="body-text"/>
        <w:framePr w:w="9423" w:h="2911" w:hRule="exact" w:hSpace="181" w:wrap="around" w:vAnchor="page" w:hAnchor="page" w:x="1319" w:y="12002"/>
        <w:ind w:firstLine="0"/>
        <w:jc w:val="right"/>
        <w:rPr>
          <w:rFonts w:ascii="Times New Roman" w:hAnsi="Times New Roman"/>
          <w:lang w:val="nl-NL"/>
        </w:rPr>
      </w:pPr>
      <w:r w:rsidRPr="00371C1E">
        <w:rPr>
          <w:rFonts w:ascii="Times New Roman" w:hAnsi="Times New Roman"/>
          <w:noProof/>
        </w:rPr>
        <w:drawing>
          <wp:inline distT="0" distB="0" distL="0" distR="0" wp14:anchorId="7F951A24" wp14:editId="1618E525">
            <wp:extent cx="2760113" cy="1846916"/>
            <wp:effectExtent l="0" t="0" r="2540" b="1270"/>
            <wp:docPr id="5125" name="Picture 5" descr="http://en.hs-furtwangen.de/typo3temp/pics/Physical_technical_Medicine_650ae3fb70.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descr="http://en.hs-furtwangen.de/typo3temp/pics/Physical_technical_Medicine_650ae3fb70.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60113" cy="1846916"/>
                    </a:xfrm>
                    <a:prstGeom prst="rect">
                      <a:avLst/>
                    </a:prstGeom>
                    <a:noFill/>
                    <a:extLst/>
                  </pic:spPr>
                </pic:pic>
              </a:graphicData>
            </a:graphic>
          </wp:inline>
        </w:drawing>
      </w:r>
    </w:p>
    <w:p w14:paraId="098FDC97" w14:textId="77777777" w:rsidR="00C127B5" w:rsidRDefault="00C127B5" w:rsidP="005072E3">
      <w:pPr>
        <w:numPr>
          <w:ilvl w:val="0"/>
          <w:numId w:val="20"/>
        </w:numPr>
      </w:pPr>
      <w:r>
        <w:t xml:space="preserve">In de geïntegreerde vakken wordt technische leerstof aangereikt binnen de context van de klinisch technoloog. Dit komt al duidelijk tot uiting in de benaming van de vakken als </w:t>
      </w:r>
      <w:r w:rsidR="00FE56E0">
        <w:t>“Spierskeletsysteem en biomechanica”, “Zenuwen, zintuigen en signalen”, “Endocrien systeem, modelvorming en regeltechniek”</w:t>
      </w:r>
      <w:r>
        <w:t xml:space="preserve"> </w:t>
      </w:r>
      <w:r w:rsidR="00FE56E0">
        <w:t>en “Medische beeldvorming bij grote ziektebeelden”. Deze logische combinaties lenen zich uitstekend voor praktische toepassing, bijvoorbeeld bepalen van spier- en gewrichtskrachten bij uitoefenen van een bepaalde taak en beschrijving van de hersenactiviteit in wiskundige signalen.</w:t>
      </w:r>
    </w:p>
    <w:p w14:paraId="6F0E52E9" w14:textId="77777777" w:rsidR="00083096" w:rsidRPr="00083096" w:rsidRDefault="00083096" w:rsidP="005072E3">
      <w:pPr>
        <w:numPr>
          <w:ilvl w:val="0"/>
          <w:numId w:val="20"/>
        </w:numPr>
      </w:pPr>
      <w:r w:rsidRPr="00083096">
        <w:lastRenderedPageBreak/>
        <w:t xml:space="preserve">Frontaal onderwijs wordt opgehangen aan casussen om de kennis erachter te ondersteunen. Een veelvoorkomende variant zijn patiëntdemonstraties, waarin studenten direct in contact komen met patiënten en zij kunnen oefenen om kennis en vaardigheden toe te passen op een specifieke casus. </w:t>
      </w:r>
    </w:p>
    <w:p w14:paraId="138FAE7B" w14:textId="77777777" w:rsidR="00083096" w:rsidRPr="00083096" w:rsidRDefault="00083096" w:rsidP="005072E3">
      <w:pPr>
        <w:numPr>
          <w:ilvl w:val="0"/>
          <w:numId w:val="20"/>
        </w:numPr>
      </w:pPr>
      <w:r w:rsidRPr="00083096">
        <w:t xml:space="preserve">Door de bachelor heen zijn er verschillende practica waarbij de zowel de klinische als de technische context worden getoond. Gedurende de eerste twee jaar oefenen studenten ongeveer tien middagen in de snijzalen. Ook wordt het nieuwgebouwde technisch skillslab zeer regelmatig ingezet bij opdrachten om de technische context van de studie echt te laten ervaren.  </w:t>
      </w:r>
    </w:p>
    <w:p w14:paraId="0A2565A6" w14:textId="77777777" w:rsidR="00083096" w:rsidRPr="00083096" w:rsidRDefault="00083096" w:rsidP="005072E3">
      <w:pPr>
        <w:pStyle w:val="Heading3"/>
        <w:rPr>
          <w:lang w:val="en-GB"/>
        </w:rPr>
      </w:pPr>
      <w:bookmarkStart w:id="45" w:name="_Toc248295830"/>
      <w:r w:rsidRPr="000276EB">
        <w:rPr>
          <w:lang w:val="en-GB"/>
        </w:rPr>
        <w:t>R</w:t>
      </w:r>
      <w:r w:rsidRPr="00083096">
        <w:rPr>
          <w:lang w:val="en-GB"/>
        </w:rPr>
        <w:t>eferenties</w:t>
      </w:r>
      <w:bookmarkEnd w:id="45"/>
    </w:p>
    <w:p w14:paraId="57B95749" w14:textId="77777777" w:rsidR="00083096" w:rsidRPr="00083096" w:rsidRDefault="00083096" w:rsidP="005072E3">
      <w:pPr>
        <w:rPr>
          <w:lang w:val="en-GB"/>
        </w:rPr>
      </w:pPr>
      <w:bookmarkStart w:id="46" w:name="_Toc248295831"/>
      <w:r w:rsidRPr="00083096">
        <w:rPr>
          <w:lang w:val="en-GB"/>
        </w:rPr>
        <w:t xml:space="preserve">Anderson, J.R., Reder, L.M., &amp; Simon H.A. (1996) Situated learning and education. </w:t>
      </w:r>
      <w:r w:rsidRPr="00083096">
        <w:rPr>
          <w:i/>
          <w:lang w:val="en-GB"/>
        </w:rPr>
        <w:t>Educational Researcher</w:t>
      </w:r>
      <w:r w:rsidRPr="00083096">
        <w:rPr>
          <w:lang w:val="en-GB"/>
        </w:rPr>
        <w:t>, 25(4):5-11.</w:t>
      </w:r>
      <w:bookmarkEnd w:id="46"/>
    </w:p>
    <w:p w14:paraId="7C567E62" w14:textId="77777777" w:rsidR="00083096" w:rsidRPr="00083096" w:rsidRDefault="00083096" w:rsidP="005072E3">
      <w:pPr>
        <w:rPr>
          <w:lang w:val="en-GB"/>
        </w:rPr>
      </w:pPr>
      <w:bookmarkStart w:id="47" w:name="_Toc248295832"/>
      <w:r w:rsidRPr="00083096">
        <w:rPr>
          <w:lang w:val="en-GB"/>
        </w:rPr>
        <w:t xml:space="preserve">Greeno, J.G. (1998) The situativity of Knowing, Learning and Research. </w:t>
      </w:r>
      <w:r w:rsidRPr="00083096">
        <w:rPr>
          <w:i/>
          <w:lang w:val="en-GB"/>
        </w:rPr>
        <w:t>American Psychologist,</w:t>
      </w:r>
      <w:r w:rsidRPr="00083096">
        <w:rPr>
          <w:lang w:val="en-GB"/>
        </w:rPr>
        <w:t xml:space="preserve"> 53(1):5-26.</w:t>
      </w:r>
      <w:bookmarkEnd w:id="47"/>
    </w:p>
    <w:p w14:paraId="1D3B60E7" w14:textId="77777777" w:rsidR="00083096" w:rsidRPr="00083096" w:rsidRDefault="00083096" w:rsidP="005072E3">
      <w:bookmarkStart w:id="48" w:name="_Toc248295833"/>
      <w:r w:rsidRPr="00083096">
        <w:rPr>
          <w:lang w:val="en-GB"/>
        </w:rPr>
        <w:t xml:space="preserve">Eraut M. (2003) </w:t>
      </w:r>
      <w:r w:rsidRPr="00083096">
        <w:rPr>
          <w:i/>
          <w:lang w:val="en-GB"/>
        </w:rPr>
        <w:t>Transfer between school and work. Expert development: How to bridge the gap between school and work</w:t>
      </w:r>
      <w:r w:rsidRPr="00083096">
        <w:rPr>
          <w:lang w:val="en-GB"/>
        </w:rPr>
        <w:t xml:space="preserve">. </w:t>
      </w:r>
      <w:r w:rsidRPr="00083096">
        <w:t>Heerlen: Open Universiteit, the Netherlands.</w:t>
      </w:r>
      <w:bookmarkEnd w:id="48"/>
    </w:p>
    <w:p w14:paraId="0A013598" w14:textId="77777777" w:rsidR="00083096" w:rsidRPr="00083096" w:rsidRDefault="00083096" w:rsidP="005072E3"/>
    <w:p w14:paraId="6B71BA1E" w14:textId="77777777" w:rsidR="00083096" w:rsidRPr="00083096" w:rsidRDefault="009E5A8D" w:rsidP="005072E3">
      <w:pPr>
        <w:pStyle w:val="Heading2"/>
        <w:numPr>
          <w:ilvl w:val="0"/>
          <w:numId w:val="24"/>
        </w:numPr>
      </w:pPr>
      <w:bookmarkStart w:id="49" w:name="_Toc249429836"/>
      <w:r>
        <w:t>M</w:t>
      </w:r>
      <w:r w:rsidRPr="00083096">
        <w:t xml:space="preserve">onitoring, begeleiding, toetsing en feedback </w:t>
      </w:r>
      <w:r>
        <w:t xml:space="preserve">vormen een samenhangend geheel </w:t>
      </w:r>
      <w:r w:rsidRPr="00083096">
        <w:t>passend bij de behoeften en verdere ontwikkeling van de student</w:t>
      </w:r>
      <w:bookmarkEnd w:id="49"/>
      <w:r w:rsidR="00083096" w:rsidRPr="00083096">
        <w:t xml:space="preserve"> </w:t>
      </w:r>
    </w:p>
    <w:p w14:paraId="04FE100E" w14:textId="77777777" w:rsidR="00083096" w:rsidRPr="00083096" w:rsidRDefault="00083096" w:rsidP="005072E3">
      <w:bookmarkStart w:id="50" w:name="_Toc248295850"/>
      <w:r w:rsidRPr="00083096">
        <w:t>Feedback (van medestudenten, docenten en andere onderwijsbegeleiders), kritische reflectie en zelfbeoordeling vormen intrinsiek</w:t>
      </w:r>
      <w:r w:rsidR="00FE56E0">
        <w:t>e</w:t>
      </w:r>
      <w:r w:rsidRPr="00083096">
        <w:t xml:space="preserve"> onderdelen van het programma. De student</w:t>
      </w:r>
      <w:r w:rsidR="00FE56E0">
        <w:t>en</w:t>
      </w:r>
      <w:r w:rsidRPr="00083096">
        <w:t xml:space="preserve"> we</w:t>
      </w:r>
      <w:r w:rsidR="00FE56E0">
        <w:t>ten</w:t>
      </w:r>
      <w:r w:rsidRPr="00083096">
        <w:t xml:space="preserve"> welke kennis, vaardigheden en attitude </w:t>
      </w:r>
      <w:r w:rsidR="00FE56E0">
        <w:t>zij</w:t>
      </w:r>
      <w:r w:rsidRPr="00083096">
        <w:t xml:space="preserve"> moet verwerven. </w:t>
      </w:r>
      <w:r w:rsidR="00FE56E0">
        <w:t>Zij</w:t>
      </w:r>
      <w:r w:rsidRPr="00083096">
        <w:t xml:space="preserve"> he</w:t>
      </w:r>
      <w:r w:rsidR="00FE56E0">
        <w:t>bben</w:t>
      </w:r>
      <w:r w:rsidRPr="00083096">
        <w:t xml:space="preserve"> zicht op </w:t>
      </w:r>
      <w:r w:rsidR="00FE56E0">
        <w:t>hun</w:t>
      </w:r>
      <w:r w:rsidRPr="00083096">
        <w:t xml:space="preserve"> eigen sterktes en zwaktes</w:t>
      </w:r>
      <w:r w:rsidR="00FE56E0">
        <w:t xml:space="preserve"> en</w:t>
      </w:r>
      <w:r w:rsidRPr="00083096">
        <w:t xml:space="preserve"> </w:t>
      </w:r>
      <w:r w:rsidR="00FE56E0">
        <w:t>hun</w:t>
      </w:r>
      <w:r w:rsidRPr="00083096">
        <w:t xml:space="preserve"> studievoortgang</w:t>
      </w:r>
      <w:r w:rsidR="00FE56E0">
        <w:t>.</w:t>
      </w:r>
      <w:r w:rsidRPr="00083096">
        <w:t xml:space="preserve"> </w:t>
      </w:r>
      <w:r w:rsidR="00FE56E0">
        <w:t xml:space="preserve">De studenten </w:t>
      </w:r>
      <w:r w:rsidRPr="00083096">
        <w:t>reflecte</w:t>
      </w:r>
      <w:r w:rsidR="00FE56E0">
        <w:t>ren</w:t>
      </w:r>
      <w:r w:rsidRPr="00083096">
        <w:t xml:space="preserve"> daarop en ne</w:t>
      </w:r>
      <w:r w:rsidR="00FE56E0">
        <w:t>men</w:t>
      </w:r>
      <w:r w:rsidRPr="00083096">
        <w:t xml:space="preserve"> zo nodig het initiatief voor verdere actie. </w:t>
      </w:r>
      <w:r w:rsidR="00FE56E0">
        <w:t>De studenten</w:t>
      </w:r>
      <w:r w:rsidRPr="00083096">
        <w:t xml:space="preserve"> leg</w:t>
      </w:r>
      <w:r w:rsidR="00FE56E0">
        <w:t>gen</w:t>
      </w:r>
      <w:r w:rsidRPr="00083096">
        <w:t xml:space="preserve"> zichzelf kwaliteitscriteria op, waaraan </w:t>
      </w:r>
      <w:r w:rsidR="00FE56E0">
        <w:t xml:space="preserve">hun </w:t>
      </w:r>
      <w:r w:rsidRPr="00083096">
        <w:t>werk moet voldoen.</w:t>
      </w:r>
      <w:bookmarkEnd w:id="50"/>
      <w:r w:rsidRPr="00083096">
        <w:t xml:space="preserve"> </w:t>
      </w:r>
    </w:p>
    <w:p w14:paraId="21BAA601" w14:textId="77777777" w:rsidR="00083096" w:rsidRPr="00083096" w:rsidRDefault="00083096" w:rsidP="005072E3">
      <w:bookmarkStart w:id="51" w:name="_Toc248295851"/>
      <w:r w:rsidRPr="00083096">
        <w:t>Docenten zijn, vanuit hun kennis van de vereisten vanuit het werkveld, een “count</w:t>
      </w:r>
      <w:r w:rsidR="00FE56E0">
        <w:t>ervailing power” voor studenten.</w:t>
      </w:r>
      <w:r w:rsidRPr="00083096">
        <w:t xml:space="preserve"> </w:t>
      </w:r>
      <w:r w:rsidR="00FE56E0">
        <w:t>G</w:t>
      </w:r>
      <w:r w:rsidRPr="00083096">
        <w:t xml:space="preserve">ezamenlijk monitoren ze periodiek de studievoortgang en leggen dit vast. De toetsing is afgestemd op de </w:t>
      </w:r>
      <w:r w:rsidR="00FE56E0">
        <w:t>leer</w:t>
      </w:r>
      <w:r w:rsidRPr="00083096">
        <w:t>doelen, ondersteunt het leren en gaat uit van het principe veel feedback (formatief toetsen) en selectief ‘afrekenen’ (summatief toetsen).</w:t>
      </w:r>
      <w:bookmarkEnd w:id="51"/>
    </w:p>
    <w:p w14:paraId="107F41B1" w14:textId="77777777" w:rsidR="00083096" w:rsidRPr="00083096" w:rsidRDefault="00083096" w:rsidP="005072E3">
      <w:pPr>
        <w:pStyle w:val="Heading3"/>
      </w:pPr>
      <w:bookmarkStart w:id="52" w:name="_Toc248295852"/>
      <w:r w:rsidRPr="00083096">
        <w:t>Waarom?</w:t>
      </w:r>
      <w:bookmarkEnd w:id="52"/>
    </w:p>
    <w:p w14:paraId="7D07E828" w14:textId="77777777" w:rsidR="00FE56E0" w:rsidRDefault="00083096" w:rsidP="005072E3">
      <w:pPr>
        <w:pStyle w:val="NoSpacing"/>
      </w:pPr>
      <w:bookmarkStart w:id="53" w:name="_Toc248295853"/>
      <w:r w:rsidRPr="00083096">
        <w:t>Directe, constructieve feedback is essentieel voor de motivatie en het zelf kunnen werken aan verbetering van prestaties door studenten</w:t>
      </w:r>
      <w:bookmarkEnd w:id="53"/>
      <w:r w:rsidR="00FE56E0">
        <w:t>.</w:t>
      </w:r>
      <w:bookmarkStart w:id="54" w:name="_Toc248295854"/>
    </w:p>
    <w:p w14:paraId="336243F6" w14:textId="77777777" w:rsidR="00083096" w:rsidRPr="00083096" w:rsidRDefault="00083096" w:rsidP="005072E3">
      <w:pPr>
        <w:pStyle w:val="NoSpacing"/>
      </w:pPr>
      <w:r w:rsidRPr="00083096">
        <w:t>Realistische waardering voor prestaties (zoals hoge cijfers bij goede prestaties) draagt bij aan de ervaring van ontwikkeling in competentie en de bereidheid zich in te zetten voor de studie</w:t>
      </w:r>
      <w:bookmarkEnd w:id="54"/>
      <w:r w:rsidR="00FE56E0">
        <w:t>.</w:t>
      </w:r>
      <w:r w:rsidRPr="00083096">
        <w:t xml:space="preserve"> </w:t>
      </w:r>
    </w:p>
    <w:p w14:paraId="7A4BFFB0" w14:textId="77777777" w:rsidR="002205E1" w:rsidRDefault="002205E1">
      <w:pPr>
        <w:jc w:val="left"/>
        <w:rPr>
          <w:rFonts w:asciiTheme="majorHAnsi" w:eastAsiaTheme="majorEastAsia" w:hAnsiTheme="majorHAnsi" w:cstheme="majorBidi"/>
          <w:b/>
          <w:bCs/>
        </w:rPr>
      </w:pPr>
      <w:r>
        <w:br w:type="page"/>
      </w:r>
    </w:p>
    <w:p w14:paraId="5BD610E7" w14:textId="20550FCD" w:rsidR="00F153E6" w:rsidRPr="00083096" w:rsidRDefault="003C2864" w:rsidP="005072E3">
      <w:pPr>
        <w:pStyle w:val="Heading3"/>
      </w:pPr>
      <w:r>
        <w:lastRenderedPageBreak/>
        <w:t xml:space="preserve">Voorbeelden </w:t>
      </w:r>
      <w:r w:rsidR="00F153E6" w:rsidRPr="00083096">
        <w:t xml:space="preserve">hoe dit </w:t>
      </w:r>
      <w:r w:rsidR="00F153E6">
        <w:t xml:space="preserve">principe </w:t>
      </w:r>
      <w:r w:rsidR="00F153E6" w:rsidRPr="00083096">
        <w:t>bereikt wordt</w:t>
      </w:r>
    </w:p>
    <w:p w14:paraId="3E535445" w14:textId="77777777" w:rsidR="00083096" w:rsidRPr="00083096" w:rsidRDefault="00083096" w:rsidP="005072E3">
      <w:pPr>
        <w:numPr>
          <w:ilvl w:val="0"/>
          <w:numId w:val="21"/>
        </w:numPr>
      </w:pPr>
      <w:r w:rsidRPr="00083096">
        <w:t xml:space="preserve">Vanaf </w:t>
      </w:r>
      <w:r w:rsidR="00FE56E0">
        <w:t>het eerste jaar</w:t>
      </w:r>
      <w:r w:rsidRPr="00083096">
        <w:t xml:space="preserve"> worden studenten begeleid door twee student mentoren (</w:t>
      </w:r>
      <w:r w:rsidR="006073E6">
        <w:t>éé</w:t>
      </w:r>
      <w:r w:rsidRPr="00083096">
        <w:t xml:space="preserve">n van geneeskunde en </w:t>
      </w:r>
      <w:r w:rsidR="006073E6">
        <w:t>éé</w:t>
      </w:r>
      <w:r w:rsidRPr="00083096">
        <w:t xml:space="preserve">n van </w:t>
      </w:r>
      <w:r w:rsidR="006073E6">
        <w:t>biomedical engineering</w:t>
      </w:r>
      <w:r w:rsidRPr="00083096">
        <w:t xml:space="preserve">). Met deze mentoren hebben zij wekelijkse bijeenkomsten die dienen </w:t>
      </w:r>
      <w:r w:rsidR="00B177CB">
        <w:t xml:space="preserve">onder andere dienen als </w:t>
      </w:r>
      <w:r w:rsidRPr="00083096">
        <w:t xml:space="preserve">low-profile manier </w:t>
      </w:r>
      <w:r w:rsidR="00B177CB">
        <w:t xml:space="preserve">om de juiste studiehouding te verwerven en het vroegtijdig </w:t>
      </w:r>
      <w:r w:rsidRPr="00083096">
        <w:t>signaleren van problemen</w:t>
      </w:r>
      <w:r w:rsidR="00B177CB">
        <w:t xml:space="preserve">. Voor de studenten vormen deze bijeenkomsten </w:t>
      </w:r>
      <w:r w:rsidRPr="00083096">
        <w:t>moment</w:t>
      </w:r>
      <w:r w:rsidR="00B177CB">
        <w:t>en</w:t>
      </w:r>
      <w:r w:rsidRPr="00083096">
        <w:t xml:space="preserve"> voor feedback en coaching. </w:t>
      </w:r>
    </w:p>
    <w:p w14:paraId="1DD4B98E" w14:textId="77777777" w:rsidR="00B177CB" w:rsidRDefault="00083096" w:rsidP="005072E3">
      <w:pPr>
        <w:numPr>
          <w:ilvl w:val="0"/>
          <w:numId w:val="21"/>
        </w:numPr>
      </w:pPr>
      <w:r w:rsidRPr="00083096">
        <w:t xml:space="preserve">Tijdens het lijnonderwijs worden vaardigheden regelmatig geoefend. Om een goed overzicht te houden van de voortgang wordt gebruik gemaakt van het digitale E-Pass portfolio. Hier kunnen groei, sterke en zwakke punten worden opgemerkt en waar nodig actief op worden gereageerd. </w:t>
      </w:r>
      <w:r w:rsidR="00B177CB">
        <w:t>De terugkoppeling op het porfolio wordt halfjaarlijks gegeven door een docentmentor, die de betreffende studenten het liefst de gehele drie jaar volgt.</w:t>
      </w:r>
    </w:p>
    <w:p w14:paraId="04DF31F0" w14:textId="77777777" w:rsidR="00083096" w:rsidRPr="00083096" w:rsidRDefault="00B177CB" w:rsidP="005072E3">
      <w:pPr>
        <w:numPr>
          <w:ilvl w:val="0"/>
          <w:numId w:val="21"/>
        </w:numPr>
      </w:pPr>
      <w:r>
        <w:t>Bij het aanleren van synthetische vaardigheden (bijvoorbeeld “Intensive care en computersimulatie”) worden gedurende een dergelijk project, regelmatig plenaire terugkoppelmomenten gepland waardoor de studenten in staat gebracht worden om hun eigen leerproces te verbeteren.</w:t>
      </w:r>
    </w:p>
    <w:p w14:paraId="018B8441" w14:textId="77777777" w:rsidR="00083096" w:rsidRPr="00083096" w:rsidRDefault="00083096" w:rsidP="005072E3">
      <w:pPr>
        <w:pStyle w:val="Heading3"/>
      </w:pPr>
      <w:bookmarkStart w:id="55" w:name="_Toc248295858"/>
      <w:r w:rsidRPr="00083096">
        <w:t>Referenties</w:t>
      </w:r>
      <w:bookmarkEnd w:id="55"/>
    </w:p>
    <w:p w14:paraId="605D70B4" w14:textId="77777777" w:rsidR="00083096" w:rsidRPr="000276EB" w:rsidRDefault="00083096" w:rsidP="005072E3">
      <w:pPr>
        <w:rPr>
          <w:iCs/>
          <w:lang w:val="en-GB"/>
        </w:rPr>
      </w:pPr>
      <w:r w:rsidRPr="00083096">
        <w:rPr>
          <w:iCs/>
        </w:rPr>
        <w:t xml:space="preserve">Van Der Vleuten, C. P., &amp; Schuwirth, L. W. (2005). </w:t>
      </w:r>
      <w:r w:rsidRPr="00CA5A5D">
        <w:rPr>
          <w:iCs/>
          <w:lang w:val="en-GB"/>
        </w:rPr>
        <w:t>Assessing professional competence: from met</w:t>
      </w:r>
      <w:r w:rsidRPr="00083096">
        <w:rPr>
          <w:iCs/>
          <w:lang w:val="en-GB"/>
        </w:rPr>
        <w:t xml:space="preserve">hods to programmes. </w:t>
      </w:r>
      <w:r w:rsidRPr="000276EB">
        <w:rPr>
          <w:i/>
          <w:iCs/>
          <w:lang w:val="en-GB"/>
        </w:rPr>
        <w:t>Medical education</w:t>
      </w:r>
      <w:r w:rsidRPr="000276EB">
        <w:rPr>
          <w:iCs/>
          <w:lang w:val="en-GB"/>
        </w:rPr>
        <w:t xml:space="preserve">, </w:t>
      </w:r>
      <w:r w:rsidRPr="000276EB">
        <w:rPr>
          <w:i/>
          <w:iCs/>
          <w:lang w:val="en-GB"/>
        </w:rPr>
        <w:t>39</w:t>
      </w:r>
      <w:r w:rsidRPr="000276EB">
        <w:rPr>
          <w:iCs/>
          <w:lang w:val="en-GB"/>
        </w:rPr>
        <w:t>(3), 309-317.</w:t>
      </w:r>
    </w:p>
    <w:p w14:paraId="7BB980FB" w14:textId="77777777" w:rsidR="00083096" w:rsidRPr="000276EB" w:rsidRDefault="00083096" w:rsidP="005072E3">
      <w:pPr>
        <w:rPr>
          <w:iCs/>
          <w:lang w:val="en-GB"/>
        </w:rPr>
      </w:pPr>
      <w:r w:rsidRPr="00083096">
        <w:rPr>
          <w:iCs/>
          <w:lang w:val="en-GB"/>
        </w:rPr>
        <w:t xml:space="preserve">Hattie, J., &amp; Timperley, H. (2007). The power of feedback. </w:t>
      </w:r>
      <w:r w:rsidRPr="000276EB">
        <w:rPr>
          <w:i/>
          <w:iCs/>
          <w:lang w:val="en-GB"/>
        </w:rPr>
        <w:t>Review of educational research</w:t>
      </w:r>
      <w:r w:rsidRPr="000276EB">
        <w:rPr>
          <w:iCs/>
          <w:lang w:val="en-GB"/>
        </w:rPr>
        <w:t xml:space="preserve">, </w:t>
      </w:r>
      <w:r w:rsidRPr="000276EB">
        <w:rPr>
          <w:i/>
          <w:iCs/>
          <w:lang w:val="en-GB"/>
        </w:rPr>
        <w:t>77</w:t>
      </w:r>
      <w:r w:rsidRPr="000276EB">
        <w:rPr>
          <w:iCs/>
          <w:lang w:val="en-GB"/>
        </w:rPr>
        <w:t>(1), 81-112.</w:t>
      </w:r>
    </w:p>
    <w:p w14:paraId="16960F74" w14:textId="77777777" w:rsidR="00083096" w:rsidRPr="00083096" w:rsidRDefault="00083096" w:rsidP="005072E3">
      <w:r w:rsidRPr="00083096">
        <w:rPr>
          <w:rFonts w:hint="eastAsia"/>
          <w:iCs/>
          <w:lang w:val="en-US"/>
        </w:rPr>
        <w:t xml:space="preserve"> Boud, D., &amp; Falchikov, N. (2006). Aligning assessment with long</w:t>
      </w:r>
      <w:r w:rsidRPr="00083096">
        <w:rPr>
          <w:rFonts w:ascii="Cambria Math" w:hAnsi="Cambria Math" w:cs="Cambria Math"/>
          <w:iCs/>
          <w:lang w:val="en-US"/>
        </w:rPr>
        <w:t>‐</w:t>
      </w:r>
      <w:r w:rsidRPr="00083096">
        <w:rPr>
          <w:rFonts w:hint="eastAsia"/>
          <w:iCs/>
          <w:lang w:val="en-US"/>
        </w:rPr>
        <w:t xml:space="preserve">term learning. </w:t>
      </w:r>
      <w:r w:rsidRPr="009E5A8D">
        <w:rPr>
          <w:rFonts w:hint="eastAsia"/>
          <w:iCs/>
        </w:rPr>
        <w:t>Assessment &amp; Evaluation in Higher Education, 31(4), 399-413.</w:t>
      </w:r>
    </w:p>
    <w:p w14:paraId="15DB88C5" w14:textId="77777777" w:rsidR="00083096" w:rsidRPr="00083096" w:rsidRDefault="00083096" w:rsidP="005072E3"/>
    <w:p w14:paraId="221AA6D0" w14:textId="77777777" w:rsidR="00083096" w:rsidRPr="00083096" w:rsidRDefault="00083096" w:rsidP="005072E3">
      <w:pPr>
        <w:pStyle w:val="Heading2"/>
        <w:numPr>
          <w:ilvl w:val="0"/>
          <w:numId w:val="24"/>
        </w:numPr>
      </w:pPr>
      <w:bookmarkStart w:id="56" w:name="_Toc249429837"/>
      <w:r w:rsidRPr="00083096">
        <w:t xml:space="preserve">Studenten worden vroeg bewust van hun rol als zorgprofessionals en hebben </w:t>
      </w:r>
      <w:r w:rsidR="009E5A8D">
        <w:t>in</w:t>
      </w:r>
      <w:r w:rsidRPr="00083096">
        <w:t xml:space="preserve">zicht </w:t>
      </w:r>
      <w:r w:rsidR="009E5A8D">
        <w:t>in</w:t>
      </w:r>
      <w:r w:rsidRPr="00083096">
        <w:t xml:space="preserve"> hun arbeidsperspectief.</w:t>
      </w:r>
      <w:bookmarkEnd w:id="56"/>
    </w:p>
    <w:p w14:paraId="737E4AB5" w14:textId="77777777" w:rsidR="00083096" w:rsidRPr="00083096" w:rsidRDefault="00083096" w:rsidP="005072E3">
      <w:bookmarkStart w:id="57" w:name="_Toc248295835"/>
      <w:r w:rsidRPr="00083096">
        <w:t xml:space="preserve">De opleiding geeft een </w:t>
      </w:r>
      <w:r w:rsidR="00B177CB">
        <w:t>gedegen</w:t>
      </w:r>
      <w:r w:rsidRPr="00083096">
        <w:t xml:space="preserve"> basis voor het beroepsprofiel waartoe zij de studenten opleiden. Als </w:t>
      </w:r>
      <w:r w:rsidR="00B177CB">
        <w:t xml:space="preserve">toekomstig </w:t>
      </w:r>
      <w:r w:rsidRPr="00083096">
        <w:t xml:space="preserve">zorgprofessionals is het van groot belang dat studenten </w:t>
      </w:r>
      <w:r w:rsidR="00B177CB">
        <w:t xml:space="preserve">van </w:t>
      </w:r>
      <w:r w:rsidRPr="00083096">
        <w:t xml:space="preserve">zichzelf bewust zijn. Professioneel handelen en situationeel handelen worden vanaf het begin van de opleiding ingebracht, om studenten een duidelijk beeld te geven van hun </w:t>
      </w:r>
      <w:r w:rsidR="00B177CB">
        <w:t>toekomstige</w:t>
      </w:r>
      <w:r w:rsidRPr="00083096">
        <w:t xml:space="preserve"> werk</w:t>
      </w:r>
      <w:r w:rsidR="00B177CB">
        <w:t>zaamheden</w:t>
      </w:r>
      <w:r w:rsidRPr="00083096">
        <w:t xml:space="preserve">. Deze doorkijk naar het werkveld geeft studenten de mogelijkheid om te reflecteren waar zij zelf heen willen groeien. Bewustwording van hun rol vereist dat docenten de studenten zien als lerende professionals.  </w:t>
      </w:r>
      <w:bookmarkEnd w:id="57"/>
    </w:p>
    <w:p w14:paraId="4F04F717" w14:textId="77777777" w:rsidR="00083096" w:rsidRPr="00083096" w:rsidRDefault="00083096" w:rsidP="005072E3">
      <w:pPr>
        <w:pStyle w:val="Heading3"/>
      </w:pPr>
      <w:bookmarkStart w:id="58" w:name="_Toc248295836"/>
      <w:r w:rsidRPr="00083096">
        <w:t>Waarom?</w:t>
      </w:r>
      <w:bookmarkEnd w:id="58"/>
    </w:p>
    <w:p w14:paraId="0C881895" w14:textId="77777777" w:rsidR="00083096" w:rsidRPr="00083096" w:rsidRDefault="00083096" w:rsidP="005072E3">
      <w:r w:rsidRPr="00083096">
        <w:t>Het is ontzettend belangrijk om al in de bachelor de basis te leggen van de professionele ontwikkeling, zodat da</w:t>
      </w:r>
      <w:r w:rsidR="00B177CB">
        <w:t>ar</w:t>
      </w:r>
      <w:r w:rsidRPr="00083096">
        <w:t xml:space="preserve"> een leven lang op kan worden voortgebouwd. De professionele houding en </w:t>
      </w:r>
      <w:r w:rsidR="00B177CB">
        <w:t>gedrag</w:t>
      </w:r>
      <w:r w:rsidRPr="00083096">
        <w:t xml:space="preserve"> worden versterkt door werken bezoeken naar de </w:t>
      </w:r>
      <w:r w:rsidR="00B177CB">
        <w:t xml:space="preserve">klinische </w:t>
      </w:r>
      <w:r w:rsidRPr="00083096">
        <w:t xml:space="preserve">afdelingen en het hebben van gedragscodes en ceremonies. Dit versterkt het bewustzijn </w:t>
      </w:r>
      <w:r w:rsidR="00B177CB">
        <w:t xml:space="preserve">van de studenten </w:t>
      </w:r>
      <w:r w:rsidRPr="00083096">
        <w:t xml:space="preserve">van hun rol als zorgprofessional vanaf het begin van de opleiding. </w:t>
      </w:r>
    </w:p>
    <w:p w14:paraId="5C23BCD5" w14:textId="77777777" w:rsidR="00F153E6" w:rsidRPr="00083096" w:rsidRDefault="00F153E6" w:rsidP="005072E3">
      <w:pPr>
        <w:pStyle w:val="Heading3"/>
      </w:pPr>
      <w:r w:rsidRPr="00083096">
        <w:lastRenderedPageBreak/>
        <w:t xml:space="preserve">Voorbeelden hoe dit </w:t>
      </w:r>
      <w:r>
        <w:t xml:space="preserve">principe </w:t>
      </w:r>
      <w:r w:rsidRPr="00083096">
        <w:t>bereikt wordt</w:t>
      </w:r>
    </w:p>
    <w:p w14:paraId="621013C4" w14:textId="77777777" w:rsidR="00083096" w:rsidRPr="00083096" w:rsidRDefault="00083096" w:rsidP="005072E3">
      <w:pPr>
        <w:numPr>
          <w:ilvl w:val="0"/>
          <w:numId w:val="22"/>
        </w:numPr>
      </w:pPr>
      <w:r w:rsidRPr="00083096">
        <w:t xml:space="preserve">Aan het begin van de eerste jaar zijn studenten onderdeel van de integriteitsceremonie. Doel hiervan is dat studenten verklaren zich te zullen gedragen zoals van een goed student en zorgprofessional mag worden verwacht. </w:t>
      </w:r>
    </w:p>
    <w:p w14:paraId="1DD31E9F" w14:textId="77777777" w:rsidR="00083096" w:rsidRPr="00083096" w:rsidRDefault="00083096" w:rsidP="005072E3">
      <w:pPr>
        <w:numPr>
          <w:ilvl w:val="0"/>
          <w:numId w:val="22"/>
        </w:numPr>
      </w:pPr>
      <w:r w:rsidRPr="00083096">
        <w:t xml:space="preserve">In veel blokken worden studenten meegenomen naar de afdeling waar het blok zich afspeelt. </w:t>
      </w:r>
      <w:r w:rsidR="00B177CB" w:rsidRPr="00083096">
        <w:t xml:space="preserve">Voorbeelden van vakken zijn </w:t>
      </w:r>
      <w:r w:rsidR="00B177CB">
        <w:t>“Spijvertering en thermodynamica”</w:t>
      </w:r>
      <w:r w:rsidR="00B177CB" w:rsidRPr="00083096">
        <w:t xml:space="preserve">, </w:t>
      </w:r>
      <w:r w:rsidR="00B177CB">
        <w:t>“Technische heelkunde” en “S</w:t>
      </w:r>
      <w:r w:rsidR="00B177CB" w:rsidRPr="00083096">
        <w:t>pijsvertering en beeldverwerking</w:t>
      </w:r>
      <w:r w:rsidR="00B177CB">
        <w:t>”</w:t>
      </w:r>
      <w:r w:rsidR="00B177CB" w:rsidRPr="00083096">
        <w:t>.</w:t>
      </w:r>
      <w:r w:rsidR="00B177CB">
        <w:t xml:space="preserve"> </w:t>
      </w:r>
      <w:r w:rsidRPr="00083096">
        <w:t xml:space="preserve">Vanaf vroeg in de bachelor wordt zo </w:t>
      </w:r>
      <w:r w:rsidR="007C074C">
        <w:t xml:space="preserve">het </w:t>
      </w:r>
      <w:r w:rsidRPr="00083096">
        <w:t xml:space="preserve">bewustzijn </w:t>
      </w:r>
      <w:r w:rsidR="00B177CB" w:rsidRPr="00083096">
        <w:t>gecreëerd</w:t>
      </w:r>
      <w:r w:rsidRPr="00083096">
        <w:t xml:space="preserve"> </w:t>
      </w:r>
      <w:r w:rsidR="007C074C">
        <w:t>over het werkveld en de heersende mores</w:t>
      </w:r>
      <w:r w:rsidRPr="00083096">
        <w:t xml:space="preserve"> waar zij later komen te werken. </w:t>
      </w:r>
    </w:p>
    <w:p w14:paraId="474A7A20" w14:textId="77777777" w:rsidR="00083096" w:rsidRDefault="00083096" w:rsidP="005072E3">
      <w:pPr>
        <w:numPr>
          <w:ilvl w:val="0"/>
          <w:numId w:val="22"/>
        </w:numPr>
      </w:pPr>
      <w:r w:rsidRPr="00083096">
        <w:t xml:space="preserve">De structurele reflectie in het lijnonderwijs via het portfolio helpt studenten om een bewust beeld te hebben op zichzelf en de rol die zij maatschappelijk vervullen. </w:t>
      </w:r>
    </w:p>
    <w:p w14:paraId="0F3BF897" w14:textId="77777777" w:rsidR="007C074C" w:rsidRPr="00083096" w:rsidRDefault="007C074C" w:rsidP="005072E3">
      <w:pPr>
        <w:numPr>
          <w:ilvl w:val="0"/>
          <w:numId w:val="22"/>
        </w:numPr>
      </w:pPr>
      <w:r>
        <w:t>Klinisch technologen wordt gevraagd gastcolleges te geven over hun beroep in het lijnonderwijs “Klinische vaardigheden en professioneel gedrag”.</w:t>
      </w:r>
    </w:p>
    <w:p w14:paraId="0ABC7FF7" w14:textId="77777777" w:rsidR="00083096" w:rsidRPr="00083096" w:rsidRDefault="00083096" w:rsidP="005072E3">
      <w:pPr>
        <w:pStyle w:val="Heading3"/>
        <w:rPr>
          <w:lang w:val="en-GB"/>
        </w:rPr>
      </w:pPr>
      <w:bookmarkStart w:id="59" w:name="_Toc248295844"/>
      <w:r w:rsidRPr="00083096">
        <w:rPr>
          <w:lang w:val="en-GB"/>
        </w:rPr>
        <w:t>Referenties</w:t>
      </w:r>
      <w:bookmarkEnd w:id="59"/>
    </w:p>
    <w:p w14:paraId="7C85E8AA" w14:textId="77777777" w:rsidR="00083096" w:rsidRPr="000276EB" w:rsidRDefault="00083096" w:rsidP="005072E3">
      <w:pPr>
        <w:rPr>
          <w:lang w:val="en-GB"/>
        </w:rPr>
      </w:pPr>
      <w:r w:rsidRPr="00083096">
        <w:rPr>
          <w:lang w:val="en-GB"/>
        </w:rPr>
        <w:t xml:space="preserve">Howe, A. (2002). Professional development in undergraduate medical curricula–the key to the door of a new culture?. </w:t>
      </w:r>
      <w:r w:rsidRPr="000276EB">
        <w:rPr>
          <w:lang w:val="en-GB"/>
        </w:rPr>
        <w:t>Medical education, 36(4), 353-359.</w:t>
      </w:r>
    </w:p>
    <w:p w14:paraId="383BBBF7" w14:textId="77777777" w:rsidR="00083096" w:rsidRDefault="00083096" w:rsidP="005072E3">
      <w:r w:rsidRPr="00083096">
        <w:rPr>
          <w:lang w:val="en-GB"/>
        </w:rPr>
        <w:t xml:space="preserve">Wear, D. (1998). On white coats and professional development: the formal and the hidden curricula. </w:t>
      </w:r>
      <w:r w:rsidRPr="00083096">
        <w:t>Annals of Internal Medicine, 129(9), 734-737.</w:t>
      </w:r>
    </w:p>
    <w:p w14:paraId="66A6D675" w14:textId="77777777" w:rsidR="00F153E6" w:rsidRPr="00083096" w:rsidRDefault="00F153E6" w:rsidP="005072E3"/>
    <w:p w14:paraId="297E3DA4" w14:textId="77777777" w:rsidR="00371C1E" w:rsidRDefault="00371C1E" w:rsidP="005072E3">
      <w:pPr>
        <w:rPr>
          <w:rFonts w:asciiTheme="majorHAnsi" w:eastAsiaTheme="majorEastAsia" w:hAnsiTheme="majorHAnsi" w:cstheme="majorBidi"/>
          <w:b/>
          <w:bCs/>
          <w:sz w:val="26"/>
          <w:szCs w:val="26"/>
        </w:rPr>
      </w:pPr>
      <w:r>
        <w:br w:type="page"/>
      </w:r>
    </w:p>
    <w:p w14:paraId="6B0F8F12" w14:textId="77777777" w:rsidR="00083096" w:rsidRPr="00083096" w:rsidRDefault="00083096" w:rsidP="005072E3">
      <w:pPr>
        <w:pStyle w:val="Heading2"/>
        <w:numPr>
          <w:ilvl w:val="0"/>
          <w:numId w:val="24"/>
        </w:numPr>
      </w:pPr>
      <w:bookmarkStart w:id="60" w:name="_Toc249429838"/>
      <w:r w:rsidRPr="00083096">
        <w:lastRenderedPageBreak/>
        <w:t>Het onderwijs en faciliteiten zijn ontworpen als een veilige omgeving waarin studenten zich vertrouwd voelen.</w:t>
      </w:r>
      <w:bookmarkEnd w:id="60"/>
      <w:r w:rsidRPr="00083096">
        <w:t xml:space="preserve"> </w:t>
      </w:r>
    </w:p>
    <w:p w14:paraId="4EF0A537" w14:textId="77777777" w:rsidR="00083096" w:rsidRPr="00083096" w:rsidRDefault="00083096" w:rsidP="005072E3">
      <w:r w:rsidRPr="00083096">
        <w:t>Door het creëren van een veilige omgeving voor de student</w:t>
      </w:r>
      <w:r w:rsidR="007C074C">
        <w:t>en</w:t>
      </w:r>
      <w:r w:rsidRPr="00083096">
        <w:t>, krijg</w:t>
      </w:r>
      <w:r w:rsidR="007C074C">
        <w:t>en</w:t>
      </w:r>
      <w:r w:rsidRPr="00083096">
        <w:t xml:space="preserve"> </w:t>
      </w:r>
      <w:r w:rsidR="007C074C">
        <w:t>zij</w:t>
      </w:r>
      <w:r w:rsidRPr="00083096">
        <w:t xml:space="preserve"> alle ruimte om zich te ontwikkelen. Voorwaarden aan veilig onderwijs is het aanbieden van leermomenten waar studenten </w:t>
      </w:r>
      <w:r w:rsidR="007C074C">
        <w:t xml:space="preserve">formatieve </w:t>
      </w:r>
      <w:r w:rsidRPr="00083096">
        <w:t xml:space="preserve">feedback kunnen krijgen voordat zij </w:t>
      </w:r>
      <w:r w:rsidR="007C074C">
        <w:t xml:space="preserve">summatief </w:t>
      </w:r>
      <w:r w:rsidRPr="00083096">
        <w:t>afgerekend worden. Dit geldt voor docent-student contact, maar ook voor peers onderling. Naast het onderwijs is het belangrijk dat studenten zich thuis voelen binnen de opleiding. Dit wordt gecreëerd door een fysieke ruimte in te richten waar zij als studie een gezicht krijgen. Door een verdieping in te richten en studenten de gelegenheid te geven om een eigen studievereniging op te zetten, krijgen studenten een vast</w:t>
      </w:r>
      <w:r w:rsidR="007C074C">
        <w:t>e plek</w:t>
      </w:r>
      <w:r w:rsidRPr="00083096">
        <w:t xml:space="preserve"> van waaruit geleerd kan worden. </w:t>
      </w:r>
    </w:p>
    <w:p w14:paraId="00FF1C9B" w14:textId="77777777" w:rsidR="00083096" w:rsidRPr="00083096" w:rsidRDefault="00083096" w:rsidP="005072E3">
      <w:pPr>
        <w:pStyle w:val="Heading3"/>
      </w:pPr>
      <w:r w:rsidRPr="00083096">
        <w:t>Waarom?</w:t>
      </w:r>
    </w:p>
    <w:p w14:paraId="55F90FD1" w14:textId="77777777" w:rsidR="00083096" w:rsidRPr="00083096" w:rsidRDefault="00083096" w:rsidP="005072E3">
      <w:r w:rsidRPr="00083096">
        <w:t xml:space="preserve">Studenten kunnen de overstap van middelbare school naar universiteit soms als lastig ervaren. Een nieuwe studie beginnen die plaatsvindt binnen drie verschillende instituten, kan deze overstap nog uitdagender maken. Het is daarom belangrijk dat de studie als veilig, betrokken en persoonlijk wordt gevonden. Juist als studenten zich als groep kunnen identificeren, is het makkelijker om aansluiting te vinden bij andere studentgroepen waar zij vaak mee in aanraking kunnen komen: geneeskunde en </w:t>
      </w:r>
      <w:r w:rsidR="006073E6">
        <w:t xml:space="preserve">biomedical engineering </w:t>
      </w:r>
      <w:r w:rsidRPr="00083096">
        <w:t xml:space="preserve">.  </w:t>
      </w:r>
    </w:p>
    <w:p w14:paraId="4EE0B6E4" w14:textId="77777777" w:rsidR="00F153E6" w:rsidRPr="00083096" w:rsidRDefault="00F153E6" w:rsidP="005072E3">
      <w:pPr>
        <w:pStyle w:val="Heading3"/>
      </w:pPr>
      <w:r w:rsidRPr="00083096">
        <w:t xml:space="preserve">Voorbeelden hoe dit </w:t>
      </w:r>
      <w:r>
        <w:t xml:space="preserve">principe </w:t>
      </w:r>
      <w:r w:rsidRPr="00083096">
        <w:t>bereikt wordt</w:t>
      </w:r>
    </w:p>
    <w:p w14:paraId="1DD538B3" w14:textId="77777777" w:rsidR="00083096" w:rsidRPr="00083096" w:rsidRDefault="00083096" w:rsidP="005072E3">
      <w:pPr>
        <w:numPr>
          <w:ilvl w:val="0"/>
          <w:numId w:val="23"/>
        </w:numPr>
      </w:pPr>
      <w:r w:rsidRPr="00083096">
        <w:t xml:space="preserve">Studenten krijgen binnen de faculteit 3ME een eigen afdeling met werkplekken, een technisch skillslab en een ruimte die gebruikt kan worden als </w:t>
      </w:r>
      <w:r w:rsidR="007C074C">
        <w:t>ankerplek</w:t>
      </w:r>
      <w:r w:rsidRPr="00083096">
        <w:t xml:space="preserve"> voor de studieopleiding. </w:t>
      </w:r>
    </w:p>
    <w:p w14:paraId="17ECE5C6" w14:textId="77777777" w:rsidR="00083096" w:rsidRPr="00083096" w:rsidRDefault="00083096" w:rsidP="005072E3">
      <w:pPr>
        <w:numPr>
          <w:ilvl w:val="0"/>
          <w:numId w:val="23"/>
        </w:numPr>
      </w:pPr>
      <w:r w:rsidRPr="00083096">
        <w:t>De studievereniging</w:t>
      </w:r>
      <w:r w:rsidR="007C074C">
        <w:t>en</w:t>
      </w:r>
      <w:r w:rsidRPr="00083096">
        <w:t xml:space="preserve"> van </w:t>
      </w:r>
      <w:r w:rsidR="007C074C">
        <w:t>g</w:t>
      </w:r>
      <w:r w:rsidRPr="00083096">
        <w:t>eneeskunde</w:t>
      </w:r>
      <w:r w:rsidR="007C074C">
        <w:t xml:space="preserve"> uit Leiden en Rotterdam </w:t>
      </w:r>
      <w:r w:rsidRPr="00083096">
        <w:t xml:space="preserve">en </w:t>
      </w:r>
      <w:r w:rsidR="007C074C">
        <w:t>van w</w:t>
      </w:r>
      <w:r w:rsidRPr="00083096">
        <w:t>erktuigbouw</w:t>
      </w:r>
      <w:r w:rsidR="007C074C">
        <w:t>kunde</w:t>
      </w:r>
      <w:r w:rsidRPr="00083096">
        <w:t xml:space="preserve"> </w:t>
      </w:r>
      <w:r w:rsidR="007C074C">
        <w:t xml:space="preserve">uit Delft </w:t>
      </w:r>
      <w:r w:rsidRPr="00083096">
        <w:t xml:space="preserve">werken gezamenlijk aan het opzetten van het eerstejaarsweekend, zodat de nieuwe studenten </w:t>
      </w:r>
      <w:r w:rsidR="007C074C">
        <w:t xml:space="preserve">klinische technologie </w:t>
      </w:r>
      <w:r w:rsidRPr="00083096">
        <w:t>direct in het eerste jaar op kamp kunnen</w:t>
      </w:r>
      <w:r w:rsidR="007C074C">
        <w:t xml:space="preserve"> en kunnen werken aan het groepsgevoel</w:t>
      </w:r>
      <w:r w:rsidRPr="00083096">
        <w:t xml:space="preserve">. </w:t>
      </w:r>
    </w:p>
    <w:p w14:paraId="76379FFD" w14:textId="77777777" w:rsidR="00083096" w:rsidRDefault="007C074C" w:rsidP="005072E3">
      <w:pPr>
        <w:numPr>
          <w:ilvl w:val="0"/>
          <w:numId w:val="23"/>
        </w:numPr>
      </w:pPr>
      <w:r w:rsidRPr="00083096">
        <w:t>De studievereniging</w:t>
      </w:r>
      <w:r>
        <w:t>en</w:t>
      </w:r>
      <w:r w:rsidRPr="00083096">
        <w:t xml:space="preserve"> van </w:t>
      </w:r>
      <w:r>
        <w:t>g</w:t>
      </w:r>
      <w:r w:rsidRPr="00083096">
        <w:t>eneeskunde</w:t>
      </w:r>
      <w:r>
        <w:t xml:space="preserve"> uit Leiden en Rotterdam </w:t>
      </w:r>
      <w:r w:rsidRPr="00083096">
        <w:t xml:space="preserve">en </w:t>
      </w:r>
      <w:r>
        <w:t>van w</w:t>
      </w:r>
      <w:r w:rsidRPr="00083096">
        <w:t>erktuigbouw</w:t>
      </w:r>
      <w:r>
        <w:t>kunde</w:t>
      </w:r>
      <w:r w:rsidRPr="00083096">
        <w:t xml:space="preserve"> </w:t>
      </w:r>
      <w:r>
        <w:t>uit Delft</w:t>
      </w:r>
      <w:r w:rsidR="00083096" w:rsidRPr="00083096">
        <w:t xml:space="preserve"> zullen het eerste jaar activiteiten organiseren voor en met studenten. In deze samenwerking kunnen zij studenten klinische technologie coachen in het opzetten van een eigen studievereniging. De organisatie hiervan is voorzien en wordt gestimuleerd vanuit het management. </w:t>
      </w:r>
    </w:p>
    <w:p w14:paraId="4F019C8D" w14:textId="77777777" w:rsidR="007C074C" w:rsidRPr="00083096" w:rsidRDefault="007C074C" w:rsidP="005072E3">
      <w:pPr>
        <w:numPr>
          <w:ilvl w:val="0"/>
          <w:numId w:val="23"/>
        </w:numPr>
      </w:pPr>
      <w:r>
        <w:t xml:space="preserve">Het beoogde cohort van 100 studenten zal worden opgedeeld in 8 groepen van circa 12 studenten. Deze groepen blijven gedurende het eerste jaar bij elkaar en worden begeleid door twee studentmentoren (één geneeskunde en één </w:t>
      </w:r>
      <w:r w:rsidR="006073E6">
        <w:t>biomedical engineering)</w:t>
      </w:r>
      <w:r>
        <w:t xml:space="preserve">. </w:t>
      </w:r>
    </w:p>
    <w:p w14:paraId="0BDFBFF1" w14:textId="77777777" w:rsidR="00083096" w:rsidRPr="000276EB" w:rsidRDefault="00083096" w:rsidP="005072E3">
      <w:pPr>
        <w:pStyle w:val="Heading3"/>
        <w:rPr>
          <w:lang w:val="en-GB"/>
        </w:rPr>
      </w:pPr>
      <w:r w:rsidRPr="000276EB">
        <w:rPr>
          <w:lang w:val="en-GB"/>
        </w:rPr>
        <w:t>Referenties</w:t>
      </w:r>
    </w:p>
    <w:p w14:paraId="21D3378D" w14:textId="77777777" w:rsidR="00083096" w:rsidRPr="00083096" w:rsidRDefault="00083096" w:rsidP="005072E3">
      <w:r w:rsidRPr="00083096">
        <w:rPr>
          <w:lang w:val="en-GB"/>
        </w:rPr>
        <w:t xml:space="preserve">Tinto, V. (1997). Classrooms as communities: Exploring the educational character of student persistence. </w:t>
      </w:r>
      <w:r w:rsidRPr="00083096">
        <w:rPr>
          <w:i/>
          <w:iCs/>
        </w:rPr>
        <w:t>Journal of higher education</w:t>
      </w:r>
      <w:r w:rsidRPr="00083096">
        <w:t>, 599-623.</w:t>
      </w:r>
    </w:p>
    <w:p w14:paraId="3F06DC23" w14:textId="77777777" w:rsidR="00083096" w:rsidRPr="00083096" w:rsidRDefault="00083096" w:rsidP="005072E3"/>
    <w:p w14:paraId="0538023C" w14:textId="77777777" w:rsidR="00083096" w:rsidRPr="00083096" w:rsidRDefault="00083096" w:rsidP="005072E3">
      <w:pPr>
        <w:pStyle w:val="Heading1"/>
      </w:pPr>
      <w:bookmarkStart w:id="61" w:name="_Didactisch_concept"/>
      <w:bookmarkEnd w:id="61"/>
      <w:r w:rsidRPr="00083096">
        <w:br w:type="page"/>
      </w:r>
      <w:bookmarkStart w:id="62" w:name="_Toc248295878"/>
      <w:bookmarkStart w:id="63" w:name="_Toc375467185"/>
      <w:bookmarkStart w:id="64" w:name="_Toc249429839"/>
      <w:r w:rsidRPr="00083096">
        <w:lastRenderedPageBreak/>
        <w:t>Didactisch concept</w:t>
      </w:r>
      <w:bookmarkEnd w:id="62"/>
      <w:bookmarkEnd w:id="63"/>
      <w:bookmarkEnd w:id="64"/>
    </w:p>
    <w:p w14:paraId="50BA7144" w14:textId="77777777" w:rsidR="00083096" w:rsidRPr="00083096" w:rsidRDefault="00083096" w:rsidP="005072E3"/>
    <w:p w14:paraId="1B9823C2" w14:textId="77777777" w:rsidR="00083096" w:rsidRPr="00083096" w:rsidRDefault="00083096" w:rsidP="005072E3">
      <w:r w:rsidRPr="00083096">
        <w:t xml:space="preserve">Het hebben van eindtermen en een </w:t>
      </w:r>
      <w:r w:rsidR="00861D43">
        <w:t xml:space="preserve">adequaat </w:t>
      </w:r>
      <w:r w:rsidRPr="00083096">
        <w:t xml:space="preserve">systeem van toetsen zijn niet voldoende om te garanderen dat studenten de opleiding halen. Kijkend naar het principe van constructive alignment is een gebalanceerd didactisch concept hiervoor uitermate belangrijk. Hieronder staat beschreven op welke didactische uitgangspunten en werkwijzen de studie klinische technologie zich baseert. </w:t>
      </w:r>
    </w:p>
    <w:p w14:paraId="36A08C17" w14:textId="77777777" w:rsidR="00F153E6" w:rsidRPr="0079779A" w:rsidRDefault="00F153E6" w:rsidP="005072E3">
      <w:pPr>
        <w:pStyle w:val="Heading2"/>
        <w:rPr>
          <w:rStyle w:val="Heading3Char"/>
          <w:b/>
          <w:bCs/>
        </w:rPr>
      </w:pPr>
      <w:bookmarkStart w:id="65" w:name="_Toc249429840"/>
      <w:r w:rsidRPr="0079779A">
        <w:rPr>
          <w:rStyle w:val="Heading3Char"/>
          <w:b/>
          <w:bCs/>
        </w:rPr>
        <w:t>Competentiegericht</w:t>
      </w:r>
      <w:bookmarkEnd w:id="65"/>
    </w:p>
    <w:p w14:paraId="482B1430" w14:textId="77777777" w:rsidR="00F153E6" w:rsidRDefault="00083096" w:rsidP="005072E3">
      <w:pPr>
        <w:rPr>
          <w:rStyle w:val="Heading3Char"/>
        </w:rPr>
      </w:pPr>
      <w:r w:rsidRPr="00083096">
        <w:t xml:space="preserve">Klinische curricula zijn de afgelopen jaren voorlopers geworden in competentiegericht onderwijs. Ook klinische technologie is een studie die zich goed leent voor dit didactisch concept. Studenten worden voorbereid om levenslang </w:t>
      </w:r>
      <w:r w:rsidR="00861D43">
        <w:t xml:space="preserve">te </w:t>
      </w:r>
      <w:r w:rsidRPr="00083096">
        <w:t xml:space="preserve">leren door de zeer innoverende beroepsgroep in het onderwijs te brengen. Kennis, vaardigheden en attitudes worden geleerd tijdens opdrachten in </w:t>
      </w:r>
      <w:r w:rsidR="00861D43">
        <w:t>een context relevante omgeving</w:t>
      </w:r>
      <w:r w:rsidRPr="00083096">
        <w:t xml:space="preserve">. Deze opdrachten geven studenten de kans om strategieën eigen te maken, en verworven kennis en vaardigheden toe te passen. </w:t>
      </w:r>
    </w:p>
    <w:p w14:paraId="37B25A5E" w14:textId="77777777" w:rsidR="00F153E6" w:rsidRPr="0079779A" w:rsidRDefault="00083096" w:rsidP="005072E3">
      <w:pPr>
        <w:pStyle w:val="Heading2"/>
        <w:rPr>
          <w:rStyle w:val="Heading3Char"/>
          <w:b/>
          <w:bCs/>
        </w:rPr>
      </w:pPr>
      <w:bookmarkStart w:id="66" w:name="_Toc249429841"/>
      <w:r w:rsidRPr="0079779A">
        <w:rPr>
          <w:rStyle w:val="Heading3Char"/>
          <w:b/>
          <w:bCs/>
        </w:rPr>
        <w:t>Expertgericht</w:t>
      </w:r>
      <w:bookmarkEnd w:id="66"/>
    </w:p>
    <w:p w14:paraId="50419553" w14:textId="77777777" w:rsidR="00977D96" w:rsidRDefault="00871C7D" w:rsidP="005072E3">
      <w:r>
        <w:t>K</w:t>
      </w:r>
      <w:r w:rsidR="00083096" w:rsidRPr="00083096">
        <w:t>linisch technolog</w:t>
      </w:r>
      <w:r>
        <w:t>en</w:t>
      </w:r>
      <w:r w:rsidR="00083096" w:rsidRPr="00083096">
        <w:t xml:space="preserve"> komen te werken op het </w:t>
      </w:r>
      <w:r w:rsidR="00861D43">
        <w:t>snij</w:t>
      </w:r>
      <w:r w:rsidR="00083096" w:rsidRPr="00083096">
        <w:t xml:space="preserve">vlak tussen techniek en </w:t>
      </w:r>
      <w:r>
        <w:t>geneeskunde</w:t>
      </w:r>
      <w:r w:rsidR="00083096" w:rsidRPr="00083096">
        <w:t xml:space="preserve">. Een grote rol is weggelegd voor </w:t>
      </w:r>
      <w:r>
        <w:t>hen</w:t>
      </w:r>
      <w:r w:rsidR="00083096" w:rsidRPr="00083096">
        <w:t xml:space="preserve"> om de gedachten, taal en attituden van beide werkvelden te begrijpen en aan elkaar te koppelen. Hiervoor is het noodzakelijk dat studenten in hun studie veel tijd besteden samen met de experts op hun vakgebied</w:t>
      </w:r>
      <w:r>
        <w:t xml:space="preserve"> en experts die deze koppeling al hebben gemaakt</w:t>
      </w:r>
      <w:r w:rsidR="00083096" w:rsidRPr="00083096">
        <w:t xml:space="preserve">. Deze gedreven experts </w:t>
      </w:r>
      <w:r>
        <w:t xml:space="preserve">kunnen de studenten de </w:t>
      </w:r>
      <w:r w:rsidR="00083096" w:rsidRPr="00083096">
        <w:t xml:space="preserve">onderdelen </w:t>
      </w:r>
      <w:r>
        <w:t xml:space="preserve">die </w:t>
      </w:r>
      <w:r w:rsidR="00083096" w:rsidRPr="00083096">
        <w:t xml:space="preserve">de studenten nodig hebben </w:t>
      </w:r>
      <w:r>
        <w:t xml:space="preserve">aanreiken </w:t>
      </w:r>
      <w:r w:rsidR="00083096" w:rsidRPr="00083096">
        <w:t>en kunnen hen ook begeleiden naar de stap</w:t>
      </w:r>
      <w:r>
        <w:t>pen</w:t>
      </w:r>
      <w:r w:rsidR="00083096" w:rsidRPr="00083096">
        <w:t xml:space="preserve"> </w:t>
      </w:r>
      <w:r>
        <w:t>voor</w:t>
      </w:r>
      <w:r w:rsidR="00083096" w:rsidRPr="00083096">
        <w:t xml:space="preserve"> integratie van de vakgebieden.</w:t>
      </w:r>
    </w:p>
    <w:p w14:paraId="7F0A6E6F" w14:textId="77777777" w:rsidR="00F153E6" w:rsidRPr="0079779A" w:rsidRDefault="00083096" w:rsidP="005072E3">
      <w:pPr>
        <w:pStyle w:val="Heading2"/>
      </w:pPr>
      <w:bookmarkStart w:id="67" w:name="_Toc249429842"/>
      <w:r w:rsidRPr="0079779A">
        <w:rPr>
          <w:rStyle w:val="Heading3Char"/>
          <w:b/>
          <w:bCs/>
        </w:rPr>
        <w:t>Actiegericht</w:t>
      </w:r>
      <w:bookmarkEnd w:id="67"/>
      <w:r w:rsidRPr="0079779A">
        <w:t xml:space="preserve"> </w:t>
      </w:r>
    </w:p>
    <w:p w14:paraId="4E3B9DFF" w14:textId="77777777" w:rsidR="00083096" w:rsidRPr="00083096" w:rsidRDefault="00083096" w:rsidP="005072E3">
      <w:r w:rsidRPr="00083096">
        <w:t xml:space="preserve">Studenten worden geacht een actieve </w:t>
      </w:r>
      <w:r w:rsidR="00871C7D">
        <w:t>studie</w:t>
      </w:r>
      <w:r w:rsidRPr="00083096">
        <w:t xml:space="preserve">houding te hebben en te participeren in het onderwijs. Deze actieve houding zal ook nodig zijn in hun werk, waar de klinisch technoloog zijn rol binnen het behandelend team moet verzekeren. Studenten moeten in het onderwijs worden uitgedaagd om zelf dingen uit te proberen, te innoveren, en samen met anderen hun leerproces in eigen hand te nemen. </w:t>
      </w:r>
    </w:p>
    <w:p w14:paraId="4EC4755D" w14:textId="337FC2F6" w:rsidR="009E2515" w:rsidRPr="002205E1" w:rsidRDefault="00083096">
      <w:r w:rsidRPr="00083096">
        <w:t xml:space="preserve">Een praktische uitwerking van het didactisch concept is te zien in de verscheidenheid van werkvormen die wordt teruggevonden in het </w:t>
      </w:r>
      <w:r w:rsidR="00871C7D">
        <w:t>onderwijsprogramma</w:t>
      </w:r>
      <w:r w:rsidRPr="00083096">
        <w:t xml:space="preserve">. Hoewel door de jaren heen gestreefd wordt naar werkvormen die passen bij de meer zelfstandige geest van studenten, wordt altijd per vak gekeken welke werkvormen nodig zijn om de stof het beste aan te bieden. </w:t>
      </w:r>
      <w:r w:rsidR="00222FB9">
        <w:t xml:space="preserve">De werkvormen die worden aangeboden zijn Hoorcolleges, </w:t>
      </w:r>
      <w:r w:rsidRPr="00083096">
        <w:t>Werk</w:t>
      </w:r>
      <w:r w:rsidR="00222FB9">
        <w:t>groepen, Practica bestaande uit computerpractica, vaardigheidsonderwijs</w:t>
      </w:r>
      <w:r w:rsidR="00696140">
        <w:t>, snijzaalpractica</w:t>
      </w:r>
      <w:r w:rsidR="00222FB9">
        <w:t xml:space="preserve"> en </w:t>
      </w:r>
      <w:r w:rsidR="005041DF">
        <w:t xml:space="preserve">metingen met diverse opstellingen, Integratiecolleges, </w:t>
      </w:r>
      <w:r w:rsidRPr="00083096">
        <w:t>Resp</w:t>
      </w:r>
      <w:r w:rsidR="005041DF">
        <w:t>onsiecolleges waarin zelfstudieopdrachten worden besproken, Zelfstudieopdrachten al dan ondersteund met ICT (bijv. e-learning, huiswerkter</w:t>
      </w:r>
      <w:r w:rsidR="008239E7">
        <w:t>u</w:t>
      </w:r>
      <w:r w:rsidR="005041DF">
        <w:t>gkoppeling), Stage</w:t>
      </w:r>
      <w:r w:rsidR="00696140">
        <w:t xml:space="preserve"> </w:t>
      </w:r>
      <w:r w:rsidR="008239E7">
        <w:t>variërend</w:t>
      </w:r>
      <w:r w:rsidR="00696140">
        <w:t xml:space="preserve"> van een krot bezoek aan een afdeling tot de twee weken zorgstage</w:t>
      </w:r>
      <w:r w:rsidR="005041DF">
        <w:t>, Projecten die veelal in groepsverband worden gedaan en waarbij gedacht kan worden aan o</w:t>
      </w:r>
      <w:r w:rsidRPr="00083096">
        <w:t>ntwerpopdracht</w:t>
      </w:r>
      <w:r w:rsidR="00696140">
        <w:t>, onderzoeksopdracht</w:t>
      </w:r>
      <w:r w:rsidR="005041DF">
        <w:t xml:space="preserve"> en battles, en </w:t>
      </w:r>
      <w:r w:rsidR="00696140">
        <w:t>Z</w:t>
      </w:r>
      <w:r w:rsidR="005041DF">
        <w:t>elfstudie.</w:t>
      </w:r>
      <w:r w:rsidRPr="00083096">
        <w:t xml:space="preserve"> </w:t>
      </w:r>
    </w:p>
    <w:p w14:paraId="59978FD9" w14:textId="2547CE5C" w:rsidR="00083096" w:rsidRPr="00083096" w:rsidRDefault="00325006" w:rsidP="005072E3">
      <w:pPr>
        <w:pStyle w:val="Heading2"/>
      </w:pPr>
      <w:bookmarkStart w:id="68" w:name="_Toc249429843"/>
      <w:r>
        <w:lastRenderedPageBreak/>
        <w:t>I</w:t>
      </w:r>
      <w:r w:rsidR="00083096" w:rsidRPr="00083096">
        <w:t>ntegratie</w:t>
      </w:r>
      <w:bookmarkEnd w:id="68"/>
      <w:r w:rsidR="00083096" w:rsidRPr="00083096">
        <w:t xml:space="preserve"> </w:t>
      </w:r>
    </w:p>
    <w:p w14:paraId="26766228" w14:textId="77777777" w:rsidR="00083096" w:rsidRPr="00083096" w:rsidRDefault="00083096" w:rsidP="005072E3"/>
    <w:p w14:paraId="26A068B5" w14:textId="77777777" w:rsidR="00A476F1" w:rsidRDefault="00A476F1" w:rsidP="005072E3">
      <w:r>
        <w:t>Integratie is een van de belangrijke principes binnen het onderwijsprogramma van de bacheloropleiding Klinische Technologie. Dit is inherent aan de aard van het beroepsprofiel waarvoor opgeleid wordt. Binnen het onderwijsprogramma wordt zowel verticale als horizontale integratie beoogd. Deze worden toegelicht.</w:t>
      </w:r>
    </w:p>
    <w:p w14:paraId="72DDA8DD" w14:textId="77777777" w:rsidR="00A476F1" w:rsidRDefault="00A476F1" w:rsidP="005072E3">
      <w:pPr>
        <w:pStyle w:val="Heading3"/>
      </w:pPr>
      <w:r>
        <w:t>Verticale integratie</w:t>
      </w:r>
    </w:p>
    <w:p w14:paraId="3CA42092" w14:textId="77777777" w:rsidR="00C831D0" w:rsidRPr="00036CC0" w:rsidRDefault="00C831D0" w:rsidP="005072E3">
      <w:pPr>
        <w:pStyle w:val="body-text"/>
        <w:framePr w:w="9423" w:h="3969" w:hRule="exact" w:hSpace="181" w:wrap="around" w:vAnchor="page" w:hAnchor="page" w:x="1036" w:y="6593"/>
        <w:ind w:firstLine="0"/>
        <w:rPr>
          <w:rFonts w:ascii="Times New Roman" w:hAnsi="Times New Roman"/>
          <w:lang w:val="nl-NL"/>
        </w:rPr>
      </w:pPr>
      <w:r w:rsidRPr="00371C1E">
        <w:rPr>
          <w:rFonts w:ascii="Times New Roman" w:hAnsi="Times New Roman"/>
          <w:noProof/>
        </w:rPr>
        <w:drawing>
          <wp:inline distT="0" distB="0" distL="0" distR="0" wp14:anchorId="541B7EE7" wp14:editId="3DE0422E">
            <wp:extent cx="5993046" cy="2438400"/>
            <wp:effectExtent l="0" t="0" r="825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3695" t="70506" r="31425" b="8535"/>
                    <a:stretch/>
                  </pic:blipFill>
                  <pic:spPr bwMode="auto">
                    <a:xfrm>
                      <a:off x="0" y="0"/>
                      <a:ext cx="5972091" cy="2429874"/>
                    </a:xfrm>
                    <a:prstGeom prst="rect">
                      <a:avLst/>
                    </a:prstGeom>
                    <a:noFill/>
                    <a:ln>
                      <a:noFill/>
                    </a:ln>
                    <a:extLst>
                      <a:ext uri="{53640926-AAD7-44D8-BBD7-CCE9431645EC}">
                        <a14:shadowObscured xmlns:a14="http://schemas.microsoft.com/office/drawing/2010/main"/>
                      </a:ext>
                    </a:extLst>
                  </pic:spPr>
                </pic:pic>
              </a:graphicData>
            </a:graphic>
          </wp:inline>
        </w:drawing>
      </w:r>
    </w:p>
    <w:p w14:paraId="7F82454C" w14:textId="77777777" w:rsidR="00B91E67" w:rsidRDefault="00A476F1" w:rsidP="005072E3">
      <w:r>
        <w:t xml:space="preserve">Het faciliteren van verticale integratie is vanaf het begin van de ontwikkeling van het onderwijsprogramma zoveel mogelijk geborgd door aan het orgaansysteem de logische technische </w:t>
      </w:r>
      <w:r w:rsidR="00F671B1">
        <w:t>principes</w:t>
      </w:r>
      <w:r>
        <w:t xml:space="preserve"> te </w:t>
      </w:r>
      <w:r w:rsidR="00F671B1">
        <w:t xml:space="preserve">koppelen en door </w:t>
      </w:r>
      <w:r>
        <w:t xml:space="preserve">een technische en </w:t>
      </w:r>
      <w:r w:rsidR="00F671B1">
        <w:t xml:space="preserve">een </w:t>
      </w:r>
      <w:r>
        <w:t>klinische blokcoordinator aan te stellen die samen verantwoordelijk zijn voor de inhoud van het betreffende blok</w:t>
      </w:r>
      <w:r w:rsidR="00F671B1">
        <w:t xml:space="preserve">. De blokcoordinatoren zijn regelmatig bij elkaar gekomen om te overleggen over de inhoud van hun blok en op basis daarvan de leerdoelen, een lesprogramma, de geschikte werkvormen en wijze van toetsing vorm te geven. </w:t>
      </w:r>
      <w:r w:rsidR="00B91E67">
        <w:t>In elk blok wordt de integratie verder geëxpliciteerd middels integratiecolleges en/of integrerende opdrachten.</w:t>
      </w:r>
    </w:p>
    <w:p w14:paraId="43A960A8" w14:textId="77777777" w:rsidR="00C831D0" w:rsidRDefault="00C831D0" w:rsidP="005072E3"/>
    <w:p w14:paraId="53EDE42C" w14:textId="77777777" w:rsidR="0079779A" w:rsidRDefault="00B91E67" w:rsidP="005072E3">
      <w:r>
        <w:t>Expliciete v</w:t>
      </w:r>
      <w:r w:rsidR="0079779A">
        <w:t xml:space="preserve">oorbeelden van </w:t>
      </w:r>
      <w:r>
        <w:t xml:space="preserve">verticale </w:t>
      </w:r>
      <w:r w:rsidR="0079779A">
        <w:t>integratie</w:t>
      </w:r>
      <w:r>
        <w:t xml:space="preserve"> binnen een blok</w:t>
      </w:r>
      <w:r w:rsidR="0079779A">
        <w:t>:</w:t>
      </w:r>
    </w:p>
    <w:p w14:paraId="68574F56" w14:textId="77777777" w:rsidR="0079779A" w:rsidRDefault="0079779A" w:rsidP="005072E3">
      <w:pPr>
        <w:pStyle w:val="ListParagraph"/>
        <w:numPr>
          <w:ilvl w:val="0"/>
          <w:numId w:val="28"/>
        </w:numPr>
      </w:pPr>
      <w:r>
        <w:t>bij de behandeling van het hart en de bloedsomloop worden de elementaire aspecten van de stromingsleer gebruikt om inzicht in de functie te verkrijgen</w:t>
      </w:r>
      <w:r w:rsidR="00B91E67">
        <w:t xml:space="preserve"> (blok “Cardiovasculair en respiratoir systeem en biomedische instrumentatie 1”)</w:t>
      </w:r>
    </w:p>
    <w:p w14:paraId="788B90E6" w14:textId="77777777" w:rsidR="0079779A" w:rsidRDefault="0079779A" w:rsidP="005072E3">
      <w:pPr>
        <w:pStyle w:val="ListParagraph"/>
        <w:numPr>
          <w:ilvl w:val="0"/>
          <w:numId w:val="28"/>
        </w:numPr>
      </w:pPr>
      <w:r>
        <w:t>bij de behandeling van het spierskeletsysteem worden de principes van de biomechanica gebruikt om inzicht in de functie te verkrijgen</w:t>
      </w:r>
      <w:r w:rsidR="00B91E67">
        <w:t xml:space="preserve"> (blokken “Spierskeletsysteem en biomechanica 1 en 2”</w:t>
      </w:r>
    </w:p>
    <w:p w14:paraId="1D42AEA9" w14:textId="77777777" w:rsidR="00B91E67" w:rsidRDefault="0079779A" w:rsidP="005072E3">
      <w:pPr>
        <w:pStyle w:val="ListParagraph"/>
        <w:numPr>
          <w:ilvl w:val="0"/>
          <w:numId w:val="28"/>
        </w:numPr>
      </w:pPr>
      <w:r>
        <w:t>bij de behandeling van het neurale en zintuiglijke systeem, die de functie hebben om metingen te doen van de externe omgeving buiten het lichaam, wordt signaaltheorie geïntroduceerd om deze meetsignalen op wiskundige wijze te kunnen beschrijven</w:t>
      </w:r>
      <w:r w:rsidR="00B91E67">
        <w:t xml:space="preserve"> (blokken “Zenuwen, zintuigen en signalen 1 en 2”)</w:t>
      </w:r>
      <w:r>
        <w:t>.</w:t>
      </w:r>
      <w:r w:rsidR="00A476F1">
        <w:t xml:space="preserve"> </w:t>
      </w:r>
    </w:p>
    <w:p w14:paraId="22333A7A" w14:textId="77777777" w:rsidR="00B91E67" w:rsidRDefault="00F671B1" w:rsidP="005072E3">
      <w:r>
        <w:lastRenderedPageBreak/>
        <w:t xml:space="preserve">Verticale integratie is vakoverschrijdend gerealiseerd doordat zowel het lijnonderwijs  “Academische Vorming” als het lijnonderwijs “Klinische vaardigheden en professioneel gedrag” de onderwerpen van de aan te leren vaardigheden hebben afgestemd op het blok dat simultaan </w:t>
      </w:r>
      <w:r w:rsidR="00B91E67">
        <w:t>geprogrammeerd is</w:t>
      </w:r>
      <w:r>
        <w:t xml:space="preserve">. </w:t>
      </w:r>
      <w:r w:rsidR="00B91E67">
        <w:t>Concrete v</w:t>
      </w:r>
      <w:r w:rsidR="007438E8">
        <w:t>oorbeelden zijn</w:t>
      </w:r>
      <w:r w:rsidR="00B91E67">
        <w:t>:</w:t>
      </w:r>
      <w:r w:rsidR="007438E8">
        <w:t xml:space="preserve"> </w:t>
      </w:r>
    </w:p>
    <w:p w14:paraId="22570CD3" w14:textId="77777777" w:rsidR="00B91E67" w:rsidRDefault="007438E8" w:rsidP="005072E3">
      <w:pPr>
        <w:pStyle w:val="ListParagraph"/>
        <w:numPr>
          <w:ilvl w:val="0"/>
          <w:numId w:val="29"/>
        </w:numPr>
      </w:pPr>
      <w:r>
        <w:t>Journal Clubs waarin papers worden besproken die relevant zijn voor het orgaansysteem of medisch-technische apparatuur die behandeld wordt binnen dat blok</w:t>
      </w:r>
    </w:p>
    <w:p w14:paraId="0093BE77" w14:textId="77777777" w:rsidR="00B91E67" w:rsidRDefault="007438E8" w:rsidP="005072E3">
      <w:pPr>
        <w:pStyle w:val="ListParagraph"/>
        <w:numPr>
          <w:ilvl w:val="0"/>
          <w:numId w:val="29"/>
        </w:numPr>
      </w:pPr>
      <w:r>
        <w:t xml:space="preserve">het behalen van een echodiploma parallel aan het vak “Wiskunde 3 en Golven” en een stralingshygiëne diploma parallel aan het vak “Medische beeldvorming bij grote ziektebeelden” </w:t>
      </w:r>
    </w:p>
    <w:p w14:paraId="3EFE9D78" w14:textId="77777777" w:rsidR="00A476F1" w:rsidRDefault="007438E8" w:rsidP="005072E3">
      <w:pPr>
        <w:pStyle w:val="ListParagraph"/>
        <w:numPr>
          <w:ilvl w:val="0"/>
          <w:numId w:val="29"/>
        </w:numPr>
      </w:pPr>
      <w:r>
        <w:t>een schrijfopdracht tijdens het blok “Bloedvormend en immuunsysteem en laboratoriumvaardigheden” dat qua opzet en stijl voorbereid en getoetst wordt tijdens de lijn “Academische vorming” en qua inhoud gericht is op een onderwerp uit het blok.</w:t>
      </w:r>
    </w:p>
    <w:p w14:paraId="48EBCDF3" w14:textId="77777777" w:rsidR="007438E8" w:rsidRDefault="007438E8" w:rsidP="005072E3">
      <w:pPr>
        <w:pStyle w:val="Heading3"/>
      </w:pPr>
      <w:r>
        <w:t>Horizontale integratie</w:t>
      </w:r>
    </w:p>
    <w:p w14:paraId="1948C1EA" w14:textId="77777777" w:rsidR="007438E8" w:rsidRDefault="003C2864" w:rsidP="005072E3">
      <w:r>
        <w:t xml:space="preserve">In het onderwijsprogramma van Klinische Technologie zijn twee leerlijnen expliciet gemaakt de lijn “Academische </w:t>
      </w:r>
      <w:r w:rsidR="00325006">
        <w:t>v</w:t>
      </w:r>
      <w:r>
        <w:t xml:space="preserve">orming” en de lijn “Klinische vaardigheden en professioneel gedrag”. Deze zijn cruciaal voor het aanleren van het juiste gedrag en werkhouding, zoals ook weergegeven in de principes. </w:t>
      </w:r>
      <w:r w:rsidR="00325006">
        <w:t>Naast deze leerlijnen zijn verschillende additionele leerlijnen te onderscheiden. Allen worden toegelicht.</w:t>
      </w:r>
    </w:p>
    <w:p w14:paraId="1743F14C" w14:textId="77777777" w:rsidR="007438E8" w:rsidRDefault="00325006" w:rsidP="005072E3">
      <w:pPr>
        <w:pStyle w:val="Heading3"/>
      </w:pPr>
      <w:r w:rsidRPr="00325006">
        <w:t xml:space="preserve">Leerlijn Academische </w:t>
      </w:r>
      <w:r>
        <w:t>v</w:t>
      </w:r>
      <w:r w:rsidRPr="00325006">
        <w:t>orming</w:t>
      </w:r>
    </w:p>
    <w:p w14:paraId="248CA86F" w14:textId="77777777" w:rsidR="00325006" w:rsidRPr="00325006" w:rsidRDefault="00325006" w:rsidP="005072E3">
      <w:r w:rsidRPr="00325006">
        <w:t xml:space="preserve">Deze lijn bestaat uit wetenschappelijke en algemene academische vaardigheden. De academische vorming komt zowel in het lijnonderwijs als in </w:t>
      </w:r>
      <w:r>
        <w:t>blokken</w:t>
      </w:r>
      <w:r w:rsidRPr="00325006">
        <w:t xml:space="preserve"> aan bod. In de vakken is sprake van een koppeling tussen de wetenschappelijke vaardigheden en de actuele leerstof. Vaardigheden zoals het schrijven van een wetenschappelijk verslag, presenteren, uitleg en feedback geven aan medestudenten en het innemen van een standpunt zijn onderdeel van diverse </w:t>
      </w:r>
      <w:r>
        <w:t>blokken</w:t>
      </w:r>
      <w:r w:rsidRPr="00325006">
        <w:t xml:space="preserve"> en worden daarin ook getoetst. In de ontwerpprojecten en het eindproject</w:t>
      </w:r>
      <w:r>
        <w:t xml:space="preserve"> </w:t>
      </w:r>
      <w:r w:rsidRPr="00325006">
        <w:t>moeten studenten wetenschappelijke vaardigheden toepassen in een concrete ontwerp- en onderzoeksopdracht.</w:t>
      </w:r>
    </w:p>
    <w:p w14:paraId="43266A2A" w14:textId="77777777" w:rsidR="00325006" w:rsidRPr="00325006" w:rsidRDefault="00325006" w:rsidP="005072E3">
      <w:r w:rsidRPr="00325006">
        <w:t xml:space="preserve">Daarnaast zijn er leer- en oefenactiviteiten in een doorlopende leerlijn. Voorbeelden zijn de journal clubs, waarin studenten leren een wetenschappelijk artikel te lezen, dit kritisch te becommentariëren en daarover te presenteren en met medestudenten te discussiëren. Onderdeel van de lijn academische vorming zijn ook een aantal colleges over ethiek, filosofie en </w:t>
      </w:r>
      <w:r>
        <w:t xml:space="preserve">de </w:t>
      </w:r>
      <w:r w:rsidRPr="00325006">
        <w:t xml:space="preserve">geschiedenis </w:t>
      </w:r>
      <w:r>
        <w:t xml:space="preserve">van </w:t>
      </w:r>
      <w:r w:rsidRPr="00325006">
        <w:t>geneeskund</w:t>
      </w:r>
      <w:r>
        <w:t xml:space="preserve">e, en medische </w:t>
      </w:r>
      <w:r w:rsidRPr="00325006">
        <w:t>technologie.</w:t>
      </w:r>
    </w:p>
    <w:p w14:paraId="33C39DCF" w14:textId="77777777" w:rsidR="00325006" w:rsidRDefault="00325006" w:rsidP="005072E3">
      <w:pPr>
        <w:pStyle w:val="Heading3"/>
      </w:pPr>
      <w:r w:rsidRPr="00325006">
        <w:t>Leerlijn Klinische vaardigheden en professioneel gedrag</w:t>
      </w:r>
    </w:p>
    <w:p w14:paraId="7289CBCA" w14:textId="77777777" w:rsidR="00325006" w:rsidRDefault="00325006" w:rsidP="005072E3">
      <w:r>
        <w:t xml:space="preserve">Onder de klinische vaardigheden rekenen we communicatieve vaardigheden, professioneel gedrag en medisch-technisch handelen. De communicatieve vaardigheden hebben betrekking op het arts-patiëntcontact en contact binnen een multidisciplinair team. Het accent ligt daarbij op het respectvol en professioneel omgaan met patiënten en met medisch specialisten. Ook wordt er aandacht besteed aan het afnemen van een anamnese. Professioneel gedrag kent drie dimensies, namelijk omgaan met taken, met jezelf en met de ander (patiënt, medestudent, docent). Daaraan wordt aandacht besteed bij diverse vormen van groepsonderwijs waarbij </w:t>
      </w:r>
      <w:r>
        <w:lastRenderedPageBreak/>
        <w:t xml:space="preserve">sprake is van een vaste relatie tussen docent en studiegroep. De medisch-technische vaardigheden hebben betrekking op het kunnen uitvoeren van bepaalde onderzoeken en handelingen bij de patiënt. In dit kader krijgen studenten in het eerste kwartaal een EHBO-cursus. Verder leren zij het lichamelijk onderzoek uit te voeren bij patiënten. Studenten oefenen daarbij eerst op elkaar, zodat zij ook ervaren hoe het is om onderzocht te worden en vervolgens op simulatiepatiënten. Verder leren studenten in de bachelorfase ook een aantal basale voorbehouden handelingen uit te voeren in een simulatieomgeving. Het gaat daarbij met name om knopen en hechten, venapuncties, blaascatheresatie, defibrillatie, endoscopie en radio-actieve straling. </w:t>
      </w:r>
    </w:p>
    <w:p w14:paraId="2B5BEA10" w14:textId="77777777" w:rsidR="00325006" w:rsidRDefault="00325006" w:rsidP="005072E3">
      <w:pPr>
        <w:pStyle w:val="Heading3"/>
      </w:pPr>
      <w:r w:rsidRPr="00325006">
        <w:t xml:space="preserve">Leerlijn </w:t>
      </w:r>
      <w:r w:rsidR="0079779A">
        <w:t>aanpakken medisch-technische problemen</w:t>
      </w:r>
    </w:p>
    <w:p w14:paraId="002F2E06" w14:textId="77777777" w:rsidR="008A1BB9" w:rsidRDefault="008A1BB9" w:rsidP="005072E3">
      <w:r>
        <w:rPr>
          <w:sz w:val="23"/>
          <w:szCs w:val="23"/>
        </w:rPr>
        <w:t xml:space="preserve">Klinische technologen moeten een klinisch probleem kunnen omzetten naar een model of lijst van meetbare criteria. </w:t>
      </w:r>
      <w:r w:rsidR="0079779A">
        <w:t xml:space="preserve">Deze leerlijn weerspiegelt als geen ander het karakter van de opleiding en vormt een rode draad door alle vakken van het onderwijsprogramma. </w:t>
      </w:r>
      <w:r>
        <w:rPr>
          <w:sz w:val="23"/>
          <w:szCs w:val="23"/>
        </w:rPr>
        <w:t xml:space="preserve">Om deze vaardigheid aan te leren moet eerst een stuk kennis worden opgebouwd zowel op medisch als technisch gebied en dienen ze de kennis toe te passen in concrete projecten. </w:t>
      </w:r>
      <w:r w:rsidR="0079779A">
        <w:t xml:space="preserve">De leerlijn is </w:t>
      </w:r>
      <w:r>
        <w:t xml:space="preserve">daarom </w:t>
      </w:r>
      <w:r w:rsidR="0079779A">
        <w:t>opgebouwd volgens drie fasen</w:t>
      </w:r>
      <w:r w:rsidR="00B91E67">
        <w:t xml:space="preserve">, waarbij de eerste fase in het teken staat van het opbouwen van basis kennis van de medisch biologische principes (anatomie, fysiologie en functie) van de orgaansystemen en elementaire technische principes, de tweede fase in het teken staat van de geïntegreerde verdieping in de fysische principes van de verschillende diagnostische en therapeutische modaliteiten en de pathologie, en de derde fase in het teken staat van de synthese van de opgedane kennis en vaardigheden. </w:t>
      </w:r>
    </w:p>
    <w:p w14:paraId="2D05573A" w14:textId="77777777" w:rsidR="008A1BB9" w:rsidRPr="0079779A" w:rsidRDefault="00B91E67" w:rsidP="005072E3">
      <w:r>
        <w:t xml:space="preserve">De laatste stap wordt verschillende malen doorlopen om de student de systematische stappen die nodig zijn om te een </w:t>
      </w:r>
      <w:r w:rsidR="008A1BB9">
        <w:t xml:space="preserve">innovatieve </w:t>
      </w:r>
      <w:r>
        <w:t xml:space="preserve">oplossing te komen van medisch-technische vraagstelling </w:t>
      </w:r>
      <w:r w:rsidR="008A1BB9">
        <w:t>aan te leren</w:t>
      </w:r>
      <w:r w:rsidR="00EB56EF">
        <w:t>. De blokken die aan deze stap een bijdrage leveren zijn “Ontwerpen medische technologie”, “Technische Heelkunde”, “Intensive care en computersimulatie”, “Complexe diagnose-therapiecombinaties” en “Klinisch-technologisch eindproject”</w:t>
      </w:r>
      <w:r>
        <w:t xml:space="preserve">. </w:t>
      </w:r>
      <w:r w:rsidR="008A1BB9">
        <w:rPr>
          <w:sz w:val="23"/>
          <w:szCs w:val="23"/>
        </w:rPr>
        <w:t>In de projecten wordt eerst veel sturing gegeven hoe de kennis op een juiste manier toe te passen. Naarmate de studie vordert zal de sturing meer en meer worden afgebouwd. Deze aanpak werd gezien als een efficiënte methode die noodzakelijk is omdat het studieprogramma al vrij vol is.</w:t>
      </w:r>
    </w:p>
    <w:p w14:paraId="40F004A5" w14:textId="77777777" w:rsidR="0079779A" w:rsidRDefault="0079779A" w:rsidP="005072E3">
      <w:pPr>
        <w:pStyle w:val="Heading3"/>
      </w:pPr>
      <w:r w:rsidRPr="00325006">
        <w:t xml:space="preserve">Leerlijn </w:t>
      </w:r>
      <w:r>
        <w:t>wiskunde en signaalanalyse</w:t>
      </w:r>
    </w:p>
    <w:p w14:paraId="52EEF51F" w14:textId="77777777" w:rsidR="008A1BB9" w:rsidRDefault="008A1BB9" w:rsidP="005072E3">
      <w:r>
        <w:t>Naast de algemene kennis om gezond van pathologisch weefsel te kunnen onderscheiden en up-to-date kennis van behandelalternatieven, is een belangrijke taak voor de toekomstig klinisch technoloog het interpreteren van data</w:t>
      </w:r>
      <w:r w:rsidR="00EB56EF">
        <w:t xml:space="preserve">. Centraal staat de interpretatie op klinische relevantie voor de individuele specifieke patiënt met in achtneming van de mogelijkheden en beperkingen van de toegepaste medische apparatuur. In het onderwijsprogramma is een duidelijke leerlijn te onderscheiden die de student in staat stelt om deze competentie op adequate wijze aan te leren. Naast de basale wiskundeblokken wordt de signaalanalysekennis uitgebreid en toegepast in de verschillende domeinen, waarbij zelfstandige data interpretatie een steeds grotere component wordt. Vakken die een bijdrage leveren in deze leerlijn zijn: “Wiskunde 1 en 2”, “Zenuwen, zintuigen en signalen 1 en 2”, “Cardiovasculair en respiratoir systeem en biomedische instrumentatie 1en 2”, “Urogenitaal systeem en medische statistiek”, </w:t>
      </w:r>
      <w:r w:rsidR="00EB56EF">
        <w:lastRenderedPageBreak/>
        <w:t>“Endocrien systeem, modelvorming en regeltechniek”, “Wiskunde 3 en Golven”, “Signalen en stochastiek” en “Spij</w:t>
      </w:r>
      <w:r w:rsidR="006A791E">
        <w:t>s</w:t>
      </w:r>
      <w:r w:rsidR="00EB56EF">
        <w:t>vertering en beeldverwerking”.</w:t>
      </w:r>
    </w:p>
    <w:p w14:paraId="343E9588" w14:textId="77777777" w:rsidR="0079779A" w:rsidRDefault="0079779A" w:rsidP="005072E3">
      <w:pPr>
        <w:pStyle w:val="Heading3"/>
      </w:pPr>
      <w:r w:rsidRPr="00325006">
        <w:t xml:space="preserve">Leerlijn </w:t>
      </w:r>
      <w:r>
        <w:t>patiëntveiligheid</w:t>
      </w:r>
    </w:p>
    <w:p w14:paraId="5FFB5221" w14:textId="77777777" w:rsidR="006A791E" w:rsidRDefault="00EB56EF" w:rsidP="005072E3">
      <w:r>
        <w:t xml:space="preserve">Patiëntveiligheid is een van de twee pijlers binnen het werkveld van de klinisch technoloog. Door het in zetten van zijn/haar expertise zouden patiënten op veiligere wijze behandeld kunnen worden, omdat zij de medisch-technische kennis en attitude daarvoor bezitten. Patiëntveiligheid manifesteert zich op velerlei aspecten binnen het werkveld van de klinisch technoloog. Dit komt ook tot uiting in de vakken die een bijdrage leveren in deze leerlijn. </w:t>
      </w:r>
      <w:r w:rsidR="006A791E">
        <w:t xml:space="preserve">Daarom is voor een aantal kenmerkend </w:t>
      </w:r>
      <w:r>
        <w:t>veiligheidsaspect</w:t>
      </w:r>
      <w:r w:rsidR="006A791E">
        <w:t>(en)</w:t>
      </w:r>
      <w:r>
        <w:t xml:space="preserve"> </w:t>
      </w:r>
      <w:r w:rsidR="006A791E">
        <w:t xml:space="preserve">aangegeven welke vakken daar </w:t>
      </w:r>
      <w:r>
        <w:t xml:space="preserve">in ieder geval </w:t>
      </w:r>
      <w:r w:rsidR="006A791E">
        <w:t>een bijdrage aan leveren</w:t>
      </w:r>
      <w:r>
        <w:t>.</w:t>
      </w:r>
      <w:r w:rsidR="006A791E">
        <w:t xml:space="preserve"> </w:t>
      </w:r>
    </w:p>
    <w:p w14:paraId="478AA004" w14:textId="77777777" w:rsidR="006A791E" w:rsidRDefault="006A791E" w:rsidP="00156644">
      <w:pPr>
        <w:pStyle w:val="ListParagraph"/>
        <w:numPr>
          <w:ilvl w:val="0"/>
          <w:numId w:val="30"/>
        </w:numPr>
        <w:jc w:val="left"/>
      </w:pPr>
      <w:r>
        <w:t>Luisteren naar de patiënt, zijn/haar gesteldheid en leefstijl: “Lijn Klinische vaardigheden en professioneel gedrag” en “Complexe diagnose-therapiecombinaties”</w:t>
      </w:r>
    </w:p>
    <w:p w14:paraId="2C29A61A" w14:textId="77777777" w:rsidR="00EB56EF" w:rsidRDefault="006A791E" w:rsidP="00156644">
      <w:pPr>
        <w:pStyle w:val="ListParagraph"/>
        <w:numPr>
          <w:ilvl w:val="0"/>
          <w:numId w:val="30"/>
        </w:numPr>
        <w:jc w:val="left"/>
      </w:pPr>
      <w:r>
        <w:t>Uitvoeren lichamelijk onderzoek en basic life support: “Lijn Klinische vaardigheden en professioneel gedrag”</w:t>
      </w:r>
    </w:p>
    <w:p w14:paraId="54D5F575" w14:textId="77777777" w:rsidR="006A791E" w:rsidRDefault="006A791E" w:rsidP="00156644">
      <w:pPr>
        <w:pStyle w:val="ListParagraph"/>
        <w:numPr>
          <w:ilvl w:val="0"/>
          <w:numId w:val="30"/>
        </w:numPr>
        <w:jc w:val="left"/>
      </w:pPr>
      <w:r>
        <w:t>Gebruik medische apparatuur: “Zenuwen, zintuigen en signalen 1 en 2”, “Cardiovasculair en respiratoir systeem en biomedische instrumentatie 1en 2”, “Medische beeldvorming bij grote ziektebeelden”, ”Technische Heelkunde”,  “Lijn Klinische vaardigheden en professioneel gedrag”</w:t>
      </w:r>
    </w:p>
    <w:p w14:paraId="2F366451" w14:textId="77777777" w:rsidR="006A791E" w:rsidRDefault="006A791E" w:rsidP="00156644">
      <w:pPr>
        <w:pStyle w:val="ListParagraph"/>
        <w:numPr>
          <w:ilvl w:val="0"/>
          <w:numId w:val="30"/>
        </w:numPr>
        <w:jc w:val="left"/>
      </w:pPr>
      <w:r>
        <w:t>Hygiëne: “Bloedvormend en immuunsysteem en laboratoriumvaardigheden” , ”Technische Heelkunde”,  “Lijn Klinische vaardigheden en professioneel gedrag”</w:t>
      </w:r>
    </w:p>
    <w:p w14:paraId="54B356F5" w14:textId="77777777" w:rsidR="0079779A" w:rsidRDefault="006A791E" w:rsidP="00156644">
      <w:pPr>
        <w:pStyle w:val="ListParagraph"/>
        <w:numPr>
          <w:ilvl w:val="0"/>
          <w:numId w:val="30"/>
        </w:numPr>
        <w:jc w:val="left"/>
      </w:pPr>
      <w:r>
        <w:t xml:space="preserve">Data interpretatie: “Zenuwen, zintuigen en signalen 1 en 2”, “Cardiovasculair en respiratoir systeem en biomedische instrumentatie 1en 2”, “Urogenitaal systeem en medische statistiek” ,“Medische beeldvorming bij grote ziektebeelden”, “Spijsvertering en beeldverwerking”, </w:t>
      </w:r>
      <w:r w:rsidR="00C5576C">
        <w:t xml:space="preserve">“Intensive care en computersimulatie”, </w:t>
      </w:r>
      <w:r>
        <w:t>“Complexe diagnose-therapiecombinaties”, “Onderzoeksmethodologie en epidemiologie”</w:t>
      </w:r>
      <w:r w:rsidR="00C5576C">
        <w:t>,</w:t>
      </w:r>
      <w:r w:rsidR="00C5576C" w:rsidRPr="00C5576C">
        <w:t xml:space="preserve"> </w:t>
      </w:r>
      <w:r w:rsidR="00C5576C">
        <w:t>“Lijn Academische vorming”</w:t>
      </w:r>
    </w:p>
    <w:p w14:paraId="7F1BE58B" w14:textId="77777777" w:rsidR="0079779A" w:rsidRDefault="0079779A" w:rsidP="005072E3">
      <w:pPr>
        <w:pStyle w:val="Heading3"/>
      </w:pPr>
      <w:r w:rsidRPr="00325006">
        <w:t xml:space="preserve">Leerlijn </w:t>
      </w:r>
      <w:r>
        <w:t>doelmatigheid</w:t>
      </w:r>
    </w:p>
    <w:p w14:paraId="6C41FEF4" w14:textId="77777777" w:rsidR="00C5576C" w:rsidRDefault="00C5576C" w:rsidP="005072E3">
      <w:r>
        <w:t>Doelmatigheid is een van de twee pijlers binnen het werkveld van de klinisch technoloog. Door het in zetten van zijn/haar expertise zouden patiënten op doelmatige wijze behandeld kunnen worden, omdat zij de medisch-technische kennis en attitude bezitten om de bestaande medisch-technische handelingen te optimaliseren en waar nodig nieuwe diagnose- en/of therapievormen te ontwikkelen door innovatieve combinaties van medische technologie. Doelmatig werken is belangrijk voor klinisch technologen, omdat zij daarmee hun toegevoegde waarde  binnen een multidisciplinair team kan laten zien. De vakken die een bijdrage leveren aan de leerlijn doelmatigheid zijn: “Lijn Klinische vaardigheden en professioneel gedrag”, “Lijn Academische vorming”, “Ontwerpen medische technologie”, “Technische heelkunde”, “Complexe diagnose-therapiecombinaties”, “Onderzoeksmethodologie en epidemiologie”</w:t>
      </w:r>
    </w:p>
    <w:p w14:paraId="3ADEC16A" w14:textId="77777777" w:rsidR="00083096" w:rsidRPr="00083096" w:rsidRDefault="00083096" w:rsidP="005072E3"/>
    <w:p w14:paraId="0EAED335" w14:textId="77777777" w:rsidR="00083096" w:rsidRPr="00083096" w:rsidRDefault="00083096" w:rsidP="005072E3"/>
    <w:sectPr w:rsidR="00083096" w:rsidRPr="00083096" w:rsidSect="00116320">
      <w:pgSz w:w="11907" w:h="16839" w:code="9"/>
      <w:pgMar w:top="1021" w:right="1134" w:bottom="1701" w:left="1418" w:header="567"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BD053D" w14:textId="77777777" w:rsidR="004A3D8A" w:rsidRDefault="004A3D8A" w:rsidP="00381C4A">
      <w:r>
        <w:separator/>
      </w:r>
    </w:p>
  </w:endnote>
  <w:endnote w:type="continuationSeparator" w:id="0">
    <w:p w14:paraId="3C8DCA91" w14:textId="77777777" w:rsidR="004A3D8A" w:rsidRDefault="004A3D8A" w:rsidP="00381C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Ｐ明朝">
    <w:altName w:val="MS Mincho"/>
    <w:charset w:val="4E"/>
    <w:family w:val="auto"/>
    <w:pitch w:val="variable"/>
    <w:sig w:usb0="00000000" w:usb1="6AC7FDFB" w:usb2="00000012" w:usb3="00000000" w:csb0="0002009F" w:csb1="00000000"/>
  </w:font>
  <w:font w:name="ＭＳ Ｐゴシック">
    <w:charset w:val="4E"/>
    <w:family w:val="auto"/>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57A584" w14:textId="77777777" w:rsidR="004A3D8A" w:rsidRDefault="004A3D8A" w:rsidP="00381C4A">
      <w:r>
        <w:separator/>
      </w:r>
    </w:p>
  </w:footnote>
  <w:footnote w:type="continuationSeparator" w:id="0">
    <w:p w14:paraId="7D4A7C59" w14:textId="77777777" w:rsidR="004A3D8A" w:rsidRDefault="004A3D8A" w:rsidP="00381C4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AEEC97A"/>
    <w:lvl w:ilvl="0">
      <w:start w:val="1"/>
      <w:numFmt w:val="decimal"/>
      <w:lvlText w:val="%1."/>
      <w:lvlJc w:val="left"/>
      <w:pPr>
        <w:tabs>
          <w:tab w:val="num" w:pos="1492"/>
        </w:tabs>
        <w:ind w:left="1492" w:hanging="360"/>
      </w:pPr>
    </w:lvl>
  </w:abstractNum>
  <w:abstractNum w:abstractNumId="1">
    <w:nsid w:val="FFFFFF7D"/>
    <w:multiLevelType w:val="singleLevel"/>
    <w:tmpl w:val="7E5ABEFC"/>
    <w:lvl w:ilvl="0">
      <w:start w:val="1"/>
      <w:numFmt w:val="decimal"/>
      <w:lvlText w:val="%1."/>
      <w:lvlJc w:val="left"/>
      <w:pPr>
        <w:tabs>
          <w:tab w:val="num" w:pos="1209"/>
        </w:tabs>
        <w:ind w:left="1209" w:hanging="360"/>
      </w:pPr>
    </w:lvl>
  </w:abstractNum>
  <w:abstractNum w:abstractNumId="2">
    <w:nsid w:val="FFFFFF7E"/>
    <w:multiLevelType w:val="singleLevel"/>
    <w:tmpl w:val="9CEC7F44"/>
    <w:lvl w:ilvl="0">
      <w:start w:val="1"/>
      <w:numFmt w:val="decimal"/>
      <w:lvlText w:val="%1."/>
      <w:lvlJc w:val="left"/>
      <w:pPr>
        <w:tabs>
          <w:tab w:val="num" w:pos="926"/>
        </w:tabs>
        <w:ind w:left="926" w:hanging="360"/>
      </w:pPr>
    </w:lvl>
  </w:abstractNum>
  <w:abstractNum w:abstractNumId="3">
    <w:nsid w:val="FFFFFF7F"/>
    <w:multiLevelType w:val="singleLevel"/>
    <w:tmpl w:val="1E389C6E"/>
    <w:lvl w:ilvl="0">
      <w:start w:val="1"/>
      <w:numFmt w:val="decimal"/>
      <w:lvlText w:val="%1."/>
      <w:lvlJc w:val="left"/>
      <w:pPr>
        <w:tabs>
          <w:tab w:val="num" w:pos="643"/>
        </w:tabs>
        <w:ind w:left="643" w:hanging="360"/>
      </w:pPr>
    </w:lvl>
  </w:abstractNum>
  <w:abstractNum w:abstractNumId="4">
    <w:nsid w:val="FFFFFF80"/>
    <w:multiLevelType w:val="singleLevel"/>
    <w:tmpl w:val="277884C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10ACCA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AF6946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876641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284C498"/>
    <w:lvl w:ilvl="0">
      <w:start w:val="1"/>
      <w:numFmt w:val="decimal"/>
      <w:lvlText w:val="%1."/>
      <w:lvlJc w:val="left"/>
      <w:pPr>
        <w:tabs>
          <w:tab w:val="num" w:pos="360"/>
        </w:tabs>
        <w:ind w:left="360" w:hanging="360"/>
      </w:pPr>
    </w:lvl>
  </w:abstractNum>
  <w:abstractNum w:abstractNumId="9">
    <w:nsid w:val="FFFFFF89"/>
    <w:multiLevelType w:val="singleLevel"/>
    <w:tmpl w:val="222C5BEA"/>
    <w:lvl w:ilvl="0">
      <w:start w:val="1"/>
      <w:numFmt w:val="bullet"/>
      <w:lvlText w:val=""/>
      <w:lvlJc w:val="left"/>
      <w:pPr>
        <w:tabs>
          <w:tab w:val="num" w:pos="360"/>
        </w:tabs>
        <w:ind w:left="360" w:hanging="360"/>
      </w:pPr>
      <w:rPr>
        <w:rFonts w:ascii="Symbol" w:hAnsi="Symbol" w:hint="default"/>
      </w:rPr>
    </w:lvl>
  </w:abstractNum>
  <w:abstractNum w:abstractNumId="10">
    <w:nsid w:val="001A01B0"/>
    <w:multiLevelType w:val="hybridMultilevel"/>
    <w:tmpl w:val="BD2491E6"/>
    <w:lvl w:ilvl="0" w:tplc="9D486FEC">
      <w:start w:val="1"/>
      <w:numFmt w:val="bullet"/>
      <w:lvlText w:val="–"/>
      <w:lvlJc w:val="left"/>
      <w:pPr>
        <w:tabs>
          <w:tab w:val="num" w:pos="720"/>
        </w:tabs>
        <w:ind w:left="720" w:hanging="360"/>
      </w:pPr>
      <w:rPr>
        <w:rFonts w:ascii="Arial" w:hAnsi="Arial" w:hint="default"/>
      </w:rPr>
    </w:lvl>
    <w:lvl w:ilvl="1" w:tplc="2B2228AE">
      <w:start w:val="1"/>
      <w:numFmt w:val="bullet"/>
      <w:lvlText w:val="–"/>
      <w:lvlJc w:val="left"/>
      <w:pPr>
        <w:tabs>
          <w:tab w:val="num" w:pos="1440"/>
        </w:tabs>
        <w:ind w:left="1440" w:hanging="360"/>
      </w:pPr>
      <w:rPr>
        <w:rFonts w:ascii="Arial" w:hAnsi="Arial" w:hint="default"/>
      </w:rPr>
    </w:lvl>
    <w:lvl w:ilvl="2" w:tplc="E4D42798" w:tentative="1">
      <w:start w:val="1"/>
      <w:numFmt w:val="bullet"/>
      <w:lvlText w:val="–"/>
      <w:lvlJc w:val="left"/>
      <w:pPr>
        <w:tabs>
          <w:tab w:val="num" w:pos="2160"/>
        </w:tabs>
        <w:ind w:left="2160" w:hanging="360"/>
      </w:pPr>
      <w:rPr>
        <w:rFonts w:ascii="Arial" w:hAnsi="Arial" w:hint="default"/>
      </w:rPr>
    </w:lvl>
    <w:lvl w:ilvl="3" w:tplc="4BB48EBA" w:tentative="1">
      <w:start w:val="1"/>
      <w:numFmt w:val="bullet"/>
      <w:lvlText w:val="–"/>
      <w:lvlJc w:val="left"/>
      <w:pPr>
        <w:tabs>
          <w:tab w:val="num" w:pos="2880"/>
        </w:tabs>
        <w:ind w:left="2880" w:hanging="360"/>
      </w:pPr>
      <w:rPr>
        <w:rFonts w:ascii="Arial" w:hAnsi="Arial" w:hint="default"/>
      </w:rPr>
    </w:lvl>
    <w:lvl w:ilvl="4" w:tplc="ED404A88" w:tentative="1">
      <w:start w:val="1"/>
      <w:numFmt w:val="bullet"/>
      <w:lvlText w:val="–"/>
      <w:lvlJc w:val="left"/>
      <w:pPr>
        <w:tabs>
          <w:tab w:val="num" w:pos="3600"/>
        </w:tabs>
        <w:ind w:left="3600" w:hanging="360"/>
      </w:pPr>
      <w:rPr>
        <w:rFonts w:ascii="Arial" w:hAnsi="Arial" w:hint="default"/>
      </w:rPr>
    </w:lvl>
    <w:lvl w:ilvl="5" w:tplc="CE3C8802" w:tentative="1">
      <w:start w:val="1"/>
      <w:numFmt w:val="bullet"/>
      <w:lvlText w:val="–"/>
      <w:lvlJc w:val="left"/>
      <w:pPr>
        <w:tabs>
          <w:tab w:val="num" w:pos="4320"/>
        </w:tabs>
        <w:ind w:left="4320" w:hanging="360"/>
      </w:pPr>
      <w:rPr>
        <w:rFonts w:ascii="Arial" w:hAnsi="Arial" w:hint="default"/>
      </w:rPr>
    </w:lvl>
    <w:lvl w:ilvl="6" w:tplc="2C8E8C52" w:tentative="1">
      <w:start w:val="1"/>
      <w:numFmt w:val="bullet"/>
      <w:lvlText w:val="–"/>
      <w:lvlJc w:val="left"/>
      <w:pPr>
        <w:tabs>
          <w:tab w:val="num" w:pos="5040"/>
        </w:tabs>
        <w:ind w:left="5040" w:hanging="360"/>
      </w:pPr>
      <w:rPr>
        <w:rFonts w:ascii="Arial" w:hAnsi="Arial" w:hint="default"/>
      </w:rPr>
    </w:lvl>
    <w:lvl w:ilvl="7" w:tplc="8D60152A" w:tentative="1">
      <w:start w:val="1"/>
      <w:numFmt w:val="bullet"/>
      <w:lvlText w:val="–"/>
      <w:lvlJc w:val="left"/>
      <w:pPr>
        <w:tabs>
          <w:tab w:val="num" w:pos="5760"/>
        </w:tabs>
        <w:ind w:left="5760" w:hanging="360"/>
      </w:pPr>
      <w:rPr>
        <w:rFonts w:ascii="Arial" w:hAnsi="Arial" w:hint="default"/>
      </w:rPr>
    </w:lvl>
    <w:lvl w:ilvl="8" w:tplc="5400E52A" w:tentative="1">
      <w:start w:val="1"/>
      <w:numFmt w:val="bullet"/>
      <w:lvlText w:val="–"/>
      <w:lvlJc w:val="left"/>
      <w:pPr>
        <w:tabs>
          <w:tab w:val="num" w:pos="6480"/>
        </w:tabs>
        <w:ind w:left="6480" w:hanging="360"/>
      </w:pPr>
      <w:rPr>
        <w:rFonts w:ascii="Arial" w:hAnsi="Arial" w:hint="default"/>
      </w:rPr>
    </w:lvl>
  </w:abstractNum>
  <w:abstractNum w:abstractNumId="11">
    <w:nsid w:val="01A42823"/>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077249DE"/>
    <w:multiLevelType w:val="hybridMultilevel"/>
    <w:tmpl w:val="22C0AA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1554645F"/>
    <w:multiLevelType w:val="multilevel"/>
    <w:tmpl w:val="04130023"/>
    <w:lvl w:ilvl="0">
      <w:start w:val="1"/>
      <w:numFmt w:val="upperRoman"/>
      <w:lvlText w:val="Artikel %1."/>
      <w:lvlJc w:val="left"/>
      <w:pPr>
        <w:ind w:left="0" w:firstLine="0"/>
      </w:pPr>
    </w:lvl>
    <w:lvl w:ilvl="1">
      <w:start w:val="1"/>
      <w:numFmt w:val="decimalZero"/>
      <w:isLgl/>
      <w:lvlText w:val="Secti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nsid w:val="1CAD5B0E"/>
    <w:multiLevelType w:val="hybridMultilevel"/>
    <w:tmpl w:val="F24CFB0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25BF3701"/>
    <w:multiLevelType w:val="hybridMultilevel"/>
    <w:tmpl w:val="CB54D5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349B5F70"/>
    <w:multiLevelType w:val="hybridMultilevel"/>
    <w:tmpl w:val="9FE6B3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3685574F"/>
    <w:multiLevelType w:val="hybridMultilevel"/>
    <w:tmpl w:val="807813F6"/>
    <w:lvl w:ilvl="0" w:tplc="49CA5782">
      <w:start w:val="1"/>
      <w:numFmt w:val="bullet"/>
      <w:lvlText w:val="–"/>
      <w:lvlJc w:val="left"/>
      <w:pPr>
        <w:tabs>
          <w:tab w:val="num" w:pos="720"/>
        </w:tabs>
        <w:ind w:left="720" w:hanging="360"/>
      </w:pPr>
      <w:rPr>
        <w:rFonts w:ascii="Arial" w:hAnsi="Arial" w:hint="default"/>
      </w:rPr>
    </w:lvl>
    <w:lvl w:ilvl="1" w:tplc="7C403CEC">
      <w:start w:val="1"/>
      <w:numFmt w:val="bullet"/>
      <w:lvlText w:val="–"/>
      <w:lvlJc w:val="left"/>
      <w:pPr>
        <w:tabs>
          <w:tab w:val="num" w:pos="1440"/>
        </w:tabs>
        <w:ind w:left="1440" w:hanging="360"/>
      </w:pPr>
      <w:rPr>
        <w:rFonts w:ascii="Arial" w:hAnsi="Arial" w:hint="default"/>
      </w:rPr>
    </w:lvl>
    <w:lvl w:ilvl="2" w:tplc="A2668D54" w:tentative="1">
      <w:start w:val="1"/>
      <w:numFmt w:val="bullet"/>
      <w:lvlText w:val="–"/>
      <w:lvlJc w:val="left"/>
      <w:pPr>
        <w:tabs>
          <w:tab w:val="num" w:pos="2160"/>
        </w:tabs>
        <w:ind w:left="2160" w:hanging="360"/>
      </w:pPr>
      <w:rPr>
        <w:rFonts w:ascii="Arial" w:hAnsi="Arial" w:hint="default"/>
      </w:rPr>
    </w:lvl>
    <w:lvl w:ilvl="3" w:tplc="758C0074" w:tentative="1">
      <w:start w:val="1"/>
      <w:numFmt w:val="bullet"/>
      <w:lvlText w:val="–"/>
      <w:lvlJc w:val="left"/>
      <w:pPr>
        <w:tabs>
          <w:tab w:val="num" w:pos="2880"/>
        </w:tabs>
        <w:ind w:left="2880" w:hanging="360"/>
      </w:pPr>
      <w:rPr>
        <w:rFonts w:ascii="Arial" w:hAnsi="Arial" w:hint="default"/>
      </w:rPr>
    </w:lvl>
    <w:lvl w:ilvl="4" w:tplc="D2B61A6C" w:tentative="1">
      <w:start w:val="1"/>
      <w:numFmt w:val="bullet"/>
      <w:lvlText w:val="–"/>
      <w:lvlJc w:val="left"/>
      <w:pPr>
        <w:tabs>
          <w:tab w:val="num" w:pos="3600"/>
        </w:tabs>
        <w:ind w:left="3600" w:hanging="360"/>
      </w:pPr>
      <w:rPr>
        <w:rFonts w:ascii="Arial" w:hAnsi="Arial" w:hint="default"/>
      </w:rPr>
    </w:lvl>
    <w:lvl w:ilvl="5" w:tplc="F3B06D2A" w:tentative="1">
      <w:start w:val="1"/>
      <w:numFmt w:val="bullet"/>
      <w:lvlText w:val="–"/>
      <w:lvlJc w:val="left"/>
      <w:pPr>
        <w:tabs>
          <w:tab w:val="num" w:pos="4320"/>
        </w:tabs>
        <w:ind w:left="4320" w:hanging="360"/>
      </w:pPr>
      <w:rPr>
        <w:rFonts w:ascii="Arial" w:hAnsi="Arial" w:hint="default"/>
      </w:rPr>
    </w:lvl>
    <w:lvl w:ilvl="6" w:tplc="3F76140A" w:tentative="1">
      <w:start w:val="1"/>
      <w:numFmt w:val="bullet"/>
      <w:lvlText w:val="–"/>
      <w:lvlJc w:val="left"/>
      <w:pPr>
        <w:tabs>
          <w:tab w:val="num" w:pos="5040"/>
        </w:tabs>
        <w:ind w:left="5040" w:hanging="360"/>
      </w:pPr>
      <w:rPr>
        <w:rFonts w:ascii="Arial" w:hAnsi="Arial" w:hint="default"/>
      </w:rPr>
    </w:lvl>
    <w:lvl w:ilvl="7" w:tplc="2B967D9E" w:tentative="1">
      <w:start w:val="1"/>
      <w:numFmt w:val="bullet"/>
      <w:lvlText w:val="–"/>
      <w:lvlJc w:val="left"/>
      <w:pPr>
        <w:tabs>
          <w:tab w:val="num" w:pos="5760"/>
        </w:tabs>
        <w:ind w:left="5760" w:hanging="360"/>
      </w:pPr>
      <w:rPr>
        <w:rFonts w:ascii="Arial" w:hAnsi="Arial" w:hint="default"/>
      </w:rPr>
    </w:lvl>
    <w:lvl w:ilvl="8" w:tplc="AC7E062E" w:tentative="1">
      <w:start w:val="1"/>
      <w:numFmt w:val="bullet"/>
      <w:lvlText w:val="–"/>
      <w:lvlJc w:val="left"/>
      <w:pPr>
        <w:tabs>
          <w:tab w:val="num" w:pos="6480"/>
        </w:tabs>
        <w:ind w:left="6480" w:hanging="360"/>
      </w:pPr>
      <w:rPr>
        <w:rFonts w:ascii="Arial" w:hAnsi="Arial" w:hint="default"/>
      </w:rPr>
    </w:lvl>
  </w:abstractNum>
  <w:abstractNum w:abstractNumId="18">
    <w:nsid w:val="37613D19"/>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87F6E3F"/>
    <w:multiLevelType w:val="hybridMultilevel"/>
    <w:tmpl w:val="593EFC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503C4424"/>
    <w:multiLevelType w:val="hybridMultilevel"/>
    <w:tmpl w:val="D72AF97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53CB67EE"/>
    <w:multiLevelType w:val="hybridMultilevel"/>
    <w:tmpl w:val="B908ED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57116B7D"/>
    <w:multiLevelType w:val="hybridMultilevel"/>
    <w:tmpl w:val="C00E49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5EA768D1"/>
    <w:multiLevelType w:val="hybridMultilevel"/>
    <w:tmpl w:val="F4BA10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5FD0729E"/>
    <w:multiLevelType w:val="hybridMultilevel"/>
    <w:tmpl w:val="DA1047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6BB95E45"/>
    <w:multiLevelType w:val="hybridMultilevel"/>
    <w:tmpl w:val="A6827D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71325D1A"/>
    <w:multiLevelType w:val="hybridMultilevel"/>
    <w:tmpl w:val="E89E76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72CC4672"/>
    <w:multiLevelType w:val="hybridMultilevel"/>
    <w:tmpl w:val="97FE8C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757B4365"/>
    <w:multiLevelType w:val="hybridMultilevel"/>
    <w:tmpl w:val="868E61F4"/>
    <w:lvl w:ilvl="0" w:tplc="45B49FA8">
      <w:start w:val="1"/>
      <w:numFmt w:val="bullet"/>
      <w:lvlText w:val="–"/>
      <w:lvlJc w:val="left"/>
      <w:pPr>
        <w:tabs>
          <w:tab w:val="num" w:pos="720"/>
        </w:tabs>
        <w:ind w:left="720" w:hanging="360"/>
      </w:pPr>
      <w:rPr>
        <w:rFonts w:ascii="Arial" w:hAnsi="Arial" w:hint="default"/>
      </w:rPr>
    </w:lvl>
    <w:lvl w:ilvl="1" w:tplc="6AAE32A2">
      <w:start w:val="1"/>
      <w:numFmt w:val="bullet"/>
      <w:lvlText w:val="–"/>
      <w:lvlJc w:val="left"/>
      <w:pPr>
        <w:tabs>
          <w:tab w:val="num" w:pos="1440"/>
        </w:tabs>
        <w:ind w:left="1440" w:hanging="360"/>
      </w:pPr>
      <w:rPr>
        <w:rFonts w:ascii="Arial" w:hAnsi="Arial" w:hint="default"/>
      </w:rPr>
    </w:lvl>
    <w:lvl w:ilvl="2" w:tplc="FF9A6FE2" w:tentative="1">
      <w:start w:val="1"/>
      <w:numFmt w:val="bullet"/>
      <w:lvlText w:val="–"/>
      <w:lvlJc w:val="left"/>
      <w:pPr>
        <w:tabs>
          <w:tab w:val="num" w:pos="2160"/>
        </w:tabs>
        <w:ind w:left="2160" w:hanging="360"/>
      </w:pPr>
      <w:rPr>
        <w:rFonts w:ascii="Arial" w:hAnsi="Arial" w:hint="default"/>
      </w:rPr>
    </w:lvl>
    <w:lvl w:ilvl="3" w:tplc="CAFCBB82" w:tentative="1">
      <w:start w:val="1"/>
      <w:numFmt w:val="bullet"/>
      <w:lvlText w:val="–"/>
      <w:lvlJc w:val="left"/>
      <w:pPr>
        <w:tabs>
          <w:tab w:val="num" w:pos="2880"/>
        </w:tabs>
        <w:ind w:left="2880" w:hanging="360"/>
      </w:pPr>
      <w:rPr>
        <w:rFonts w:ascii="Arial" w:hAnsi="Arial" w:hint="default"/>
      </w:rPr>
    </w:lvl>
    <w:lvl w:ilvl="4" w:tplc="039E10E2" w:tentative="1">
      <w:start w:val="1"/>
      <w:numFmt w:val="bullet"/>
      <w:lvlText w:val="–"/>
      <w:lvlJc w:val="left"/>
      <w:pPr>
        <w:tabs>
          <w:tab w:val="num" w:pos="3600"/>
        </w:tabs>
        <w:ind w:left="3600" w:hanging="360"/>
      </w:pPr>
      <w:rPr>
        <w:rFonts w:ascii="Arial" w:hAnsi="Arial" w:hint="default"/>
      </w:rPr>
    </w:lvl>
    <w:lvl w:ilvl="5" w:tplc="0590C298" w:tentative="1">
      <w:start w:val="1"/>
      <w:numFmt w:val="bullet"/>
      <w:lvlText w:val="–"/>
      <w:lvlJc w:val="left"/>
      <w:pPr>
        <w:tabs>
          <w:tab w:val="num" w:pos="4320"/>
        </w:tabs>
        <w:ind w:left="4320" w:hanging="360"/>
      </w:pPr>
      <w:rPr>
        <w:rFonts w:ascii="Arial" w:hAnsi="Arial" w:hint="default"/>
      </w:rPr>
    </w:lvl>
    <w:lvl w:ilvl="6" w:tplc="EFDA34D6" w:tentative="1">
      <w:start w:val="1"/>
      <w:numFmt w:val="bullet"/>
      <w:lvlText w:val="–"/>
      <w:lvlJc w:val="left"/>
      <w:pPr>
        <w:tabs>
          <w:tab w:val="num" w:pos="5040"/>
        </w:tabs>
        <w:ind w:left="5040" w:hanging="360"/>
      </w:pPr>
      <w:rPr>
        <w:rFonts w:ascii="Arial" w:hAnsi="Arial" w:hint="default"/>
      </w:rPr>
    </w:lvl>
    <w:lvl w:ilvl="7" w:tplc="475AB2FC" w:tentative="1">
      <w:start w:val="1"/>
      <w:numFmt w:val="bullet"/>
      <w:lvlText w:val="–"/>
      <w:lvlJc w:val="left"/>
      <w:pPr>
        <w:tabs>
          <w:tab w:val="num" w:pos="5760"/>
        </w:tabs>
        <w:ind w:left="5760" w:hanging="360"/>
      </w:pPr>
      <w:rPr>
        <w:rFonts w:ascii="Arial" w:hAnsi="Arial" w:hint="default"/>
      </w:rPr>
    </w:lvl>
    <w:lvl w:ilvl="8" w:tplc="FEB057D6" w:tentative="1">
      <w:start w:val="1"/>
      <w:numFmt w:val="bullet"/>
      <w:lvlText w:val="–"/>
      <w:lvlJc w:val="left"/>
      <w:pPr>
        <w:tabs>
          <w:tab w:val="num" w:pos="6480"/>
        </w:tabs>
        <w:ind w:left="6480" w:hanging="360"/>
      </w:pPr>
      <w:rPr>
        <w:rFonts w:ascii="Arial" w:hAnsi="Arial" w:hint="default"/>
      </w:rPr>
    </w:lvl>
  </w:abstractNum>
  <w:abstractNum w:abstractNumId="29">
    <w:nsid w:val="770375B5"/>
    <w:multiLevelType w:val="hybridMultilevel"/>
    <w:tmpl w:val="F4A60A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7C7C0287"/>
    <w:multiLevelType w:val="hybridMultilevel"/>
    <w:tmpl w:val="4D066F9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2"/>
  </w:num>
  <w:num w:numId="2">
    <w:abstractNumId w:val="18"/>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1"/>
  </w:num>
  <w:num w:numId="16">
    <w:abstractNumId w:val="15"/>
  </w:num>
  <w:num w:numId="17">
    <w:abstractNumId w:val="16"/>
  </w:num>
  <w:num w:numId="18">
    <w:abstractNumId w:val="24"/>
  </w:num>
  <w:num w:numId="19">
    <w:abstractNumId w:val="26"/>
  </w:num>
  <w:num w:numId="20">
    <w:abstractNumId w:val="29"/>
  </w:num>
  <w:num w:numId="21">
    <w:abstractNumId w:val="25"/>
  </w:num>
  <w:num w:numId="22">
    <w:abstractNumId w:val="23"/>
  </w:num>
  <w:num w:numId="23">
    <w:abstractNumId w:val="12"/>
  </w:num>
  <w:num w:numId="24">
    <w:abstractNumId w:val="30"/>
  </w:num>
  <w:num w:numId="25">
    <w:abstractNumId w:val="28"/>
  </w:num>
  <w:num w:numId="26">
    <w:abstractNumId w:val="10"/>
  </w:num>
  <w:num w:numId="27">
    <w:abstractNumId w:val="17"/>
  </w:num>
  <w:num w:numId="28">
    <w:abstractNumId w:val="14"/>
  </w:num>
  <w:num w:numId="29">
    <w:abstractNumId w:val="19"/>
  </w:num>
  <w:num w:numId="30">
    <w:abstractNumId w:val="27"/>
  </w:num>
  <w:num w:numId="3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41"/>
  <w:embedSystemFonts/>
  <w:mirrorMargin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3096"/>
    <w:rsid w:val="000276EB"/>
    <w:rsid w:val="000403F4"/>
    <w:rsid w:val="0005208C"/>
    <w:rsid w:val="00083096"/>
    <w:rsid w:val="00085282"/>
    <w:rsid w:val="00116320"/>
    <w:rsid w:val="00156644"/>
    <w:rsid w:val="002205E1"/>
    <w:rsid w:val="00222FB9"/>
    <w:rsid w:val="002241B2"/>
    <w:rsid w:val="00280BC0"/>
    <w:rsid w:val="002F3572"/>
    <w:rsid w:val="00306515"/>
    <w:rsid w:val="00325006"/>
    <w:rsid w:val="00335E8B"/>
    <w:rsid w:val="003600AF"/>
    <w:rsid w:val="00371C1E"/>
    <w:rsid w:val="00381C4A"/>
    <w:rsid w:val="003A337D"/>
    <w:rsid w:val="003B624E"/>
    <w:rsid w:val="003C2864"/>
    <w:rsid w:val="00406976"/>
    <w:rsid w:val="00411E9E"/>
    <w:rsid w:val="004228CB"/>
    <w:rsid w:val="00473BB0"/>
    <w:rsid w:val="00475A7D"/>
    <w:rsid w:val="0048676B"/>
    <w:rsid w:val="004A3D8A"/>
    <w:rsid w:val="004E04F1"/>
    <w:rsid w:val="004E40DF"/>
    <w:rsid w:val="005041DF"/>
    <w:rsid w:val="005072E3"/>
    <w:rsid w:val="005B6201"/>
    <w:rsid w:val="006073E6"/>
    <w:rsid w:val="00656E2A"/>
    <w:rsid w:val="00696140"/>
    <w:rsid w:val="006A2800"/>
    <w:rsid w:val="006A791E"/>
    <w:rsid w:val="006D316F"/>
    <w:rsid w:val="007438E8"/>
    <w:rsid w:val="00745087"/>
    <w:rsid w:val="00750517"/>
    <w:rsid w:val="007604F5"/>
    <w:rsid w:val="00775D52"/>
    <w:rsid w:val="00792442"/>
    <w:rsid w:val="00795419"/>
    <w:rsid w:val="0079779A"/>
    <w:rsid w:val="007C074C"/>
    <w:rsid w:val="007D3F93"/>
    <w:rsid w:val="00823880"/>
    <w:rsid w:val="008239E7"/>
    <w:rsid w:val="00861D43"/>
    <w:rsid w:val="00871C7D"/>
    <w:rsid w:val="008A1BB9"/>
    <w:rsid w:val="008A54A4"/>
    <w:rsid w:val="008C0ED9"/>
    <w:rsid w:val="00977D96"/>
    <w:rsid w:val="009E2515"/>
    <w:rsid w:val="009E5A8D"/>
    <w:rsid w:val="00A476F1"/>
    <w:rsid w:val="00A9668C"/>
    <w:rsid w:val="00AC3212"/>
    <w:rsid w:val="00AF706D"/>
    <w:rsid w:val="00B177CB"/>
    <w:rsid w:val="00B23523"/>
    <w:rsid w:val="00B91E67"/>
    <w:rsid w:val="00C127B5"/>
    <w:rsid w:val="00C40918"/>
    <w:rsid w:val="00C5576C"/>
    <w:rsid w:val="00C831D0"/>
    <w:rsid w:val="00C83382"/>
    <w:rsid w:val="00CA5A5D"/>
    <w:rsid w:val="00CE1561"/>
    <w:rsid w:val="00D731CF"/>
    <w:rsid w:val="00DA34B9"/>
    <w:rsid w:val="00DB200B"/>
    <w:rsid w:val="00DD6D82"/>
    <w:rsid w:val="00E6434B"/>
    <w:rsid w:val="00E92897"/>
    <w:rsid w:val="00E94275"/>
    <w:rsid w:val="00EA5FE0"/>
    <w:rsid w:val="00EB56EF"/>
    <w:rsid w:val="00EC1B57"/>
    <w:rsid w:val="00EF3ADE"/>
    <w:rsid w:val="00F06047"/>
    <w:rsid w:val="00F153E6"/>
    <w:rsid w:val="00F671B1"/>
    <w:rsid w:val="00FE56E0"/>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9494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footer" w:uiPriority="99"/>
    <w:lsdException w:name="caption" w:semiHidden="1" w:unhideWhenUsed="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205E1"/>
    <w:pPr>
      <w:jc w:val="both"/>
    </w:pPr>
    <w:rPr>
      <w:sz w:val="24"/>
    </w:rPr>
  </w:style>
  <w:style w:type="paragraph" w:styleId="Heading1">
    <w:name w:val="heading 1"/>
    <w:basedOn w:val="Normal"/>
    <w:next w:val="Normal"/>
    <w:link w:val="Heading1Char"/>
    <w:uiPriority w:val="9"/>
    <w:qFormat/>
    <w:rsid w:val="003A337D"/>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3A337D"/>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3A337D"/>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3A337D"/>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3A337D"/>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3A337D"/>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3A337D"/>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3A337D"/>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3A337D"/>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81C4A"/>
    <w:pPr>
      <w:tabs>
        <w:tab w:val="center" w:pos="4536"/>
        <w:tab w:val="right" w:pos="9072"/>
      </w:tabs>
    </w:pPr>
  </w:style>
  <w:style w:type="character" w:customStyle="1" w:styleId="HeaderChar">
    <w:name w:val="Header Char"/>
    <w:basedOn w:val="DefaultParagraphFont"/>
    <w:link w:val="Header"/>
    <w:rsid w:val="00381C4A"/>
    <w:rPr>
      <w:sz w:val="24"/>
      <w:szCs w:val="24"/>
      <w:lang w:val="en-US" w:eastAsia="en-US"/>
    </w:rPr>
  </w:style>
  <w:style w:type="paragraph" w:styleId="Footer">
    <w:name w:val="footer"/>
    <w:basedOn w:val="Normal"/>
    <w:link w:val="FooterChar"/>
    <w:uiPriority w:val="99"/>
    <w:rsid w:val="00DB200B"/>
    <w:pPr>
      <w:tabs>
        <w:tab w:val="center" w:pos="4536"/>
        <w:tab w:val="right" w:pos="9072"/>
      </w:tabs>
    </w:pPr>
  </w:style>
  <w:style w:type="character" w:customStyle="1" w:styleId="FooterChar">
    <w:name w:val="Footer Char"/>
    <w:basedOn w:val="DefaultParagraphFont"/>
    <w:link w:val="Footer"/>
    <w:uiPriority w:val="99"/>
    <w:rsid w:val="00DB200B"/>
    <w:rPr>
      <w:rFonts w:ascii="Tahoma" w:hAnsi="Tahoma"/>
      <w:sz w:val="22"/>
      <w:szCs w:val="24"/>
      <w:lang w:val="en-US" w:eastAsia="en-US"/>
    </w:rPr>
  </w:style>
  <w:style w:type="paragraph" w:styleId="BalloonText">
    <w:name w:val="Balloon Text"/>
    <w:basedOn w:val="Normal"/>
    <w:link w:val="BalloonTextChar"/>
    <w:rsid w:val="00381C4A"/>
    <w:rPr>
      <w:rFonts w:cs="Tahoma"/>
      <w:sz w:val="16"/>
      <w:szCs w:val="16"/>
    </w:rPr>
  </w:style>
  <w:style w:type="character" w:customStyle="1" w:styleId="BalloonTextChar">
    <w:name w:val="Balloon Text Char"/>
    <w:basedOn w:val="DefaultParagraphFont"/>
    <w:link w:val="BalloonText"/>
    <w:rsid w:val="00381C4A"/>
    <w:rPr>
      <w:rFonts w:ascii="Tahoma" w:hAnsi="Tahoma" w:cs="Tahoma"/>
      <w:sz w:val="16"/>
      <w:szCs w:val="16"/>
      <w:lang w:val="en-US" w:eastAsia="en-US"/>
    </w:rPr>
  </w:style>
  <w:style w:type="paragraph" w:styleId="NormalWeb">
    <w:name w:val="Normal (Web)"/>
    <w:basedOn w:val="Normal"/>
    <w:uiPriority w:val="99"/>
    <w:unhideWhenUsed/>
    <w:rsid w:val="004E04F1"/>
    <w:pPr>
      <w:spacing w:before="100" w:beforeAutospacing="1" w:after="100" w:afterAutospacing="1"/>
    </w:pPr>
  </w:style>
  <w:style w:type="character" w:styleId="Strong">
    <w:name w:val="Strong"/>
    <w:uiPriority w:val="22"/>
    <w:qFormat/>
    <w:rsid w:val="003A337D"/>
    <w:rPr>
      <w:b/>
      <w:bCs/>
    </w:rPr>
  </w:style>
  <w:style w:type="character" w:customStyle="1" w:styleId="Heading1Char">
    <w:name w:val="Heading 1 Char"/>
    <w:basedOn w:val="DefaultParagraphFont"/>
    <w:link w:val="Heading1"/>
    <w:uiPriority w:val="9"/>
    <w:rsid w:val="003A337D"/>
    <w:rPr>
      <w:rFonts w:asciiTheme="majorHAnsi" w:eastAsiaTheme="majorEastAsia" w:hAnsiTheme="majorHAnsi" w:cstheme="majorBidi"/>
      <w:b/>
      <w:bCs/>
      <w:sz w:val="28"/>
      <w:szCs w:val="28"/>
    </w:rPr>
  </w:style>
  <w:style w:type="paragraph" w:styleId="Title">
    <w:name w:val="Title"/>
    <w:basedOn w:val="Normal"/>
    <w:next w:val="Normal"/>
    <w:link w:val="TitleChar"/>
    <w:uiPriority w:val="10"/>
    <w:qFormat/>
    <w:rsid w:val="003A337D"/>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table" w:styleId="Table3Deffects1">
    <w:name w:val="Table 3D effects 1"/>
    <w:basedOn w:val="TableNormal"/>
    <w:rsid w:val="00411E9E"/>
    <w:rPr>
      <w:rFonts w:ascii="Minion Pro" w:hAnsi="Minion Pro"/>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411E9E"/>
    <w:rPr>
      <w:rFonts w:ascii="Minion Pro" w:hAnsi="Minion Pro"/>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411E9E"/>
    <w:rPr>
      <w:rFonts w:ascii="Minion Pro" w:hAnsi="Minion Pro"/>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EnvelopeAddress">
    <w:name w:val="envelope address"/>
    <w:basedOn w:val="Normal"/>
    <w:rsid w:val="00411E9E"/>
    <w:pPr>
      <w:framePr w:w="7920" w:h="1980" w:hRule="exact" w:hSpace="141" w:wrap="auto" w:hAnchor="page" w:xAlign="center" w:yAlign="bottom"/>
      <w:ind w:left="2880"/>
    </w:pPr>
    <w:rPr>
      <w:rFonts w:eastAsiaTheme="majorEastAsia" w:cstheme="majorBidi"/>
    </w:rPr>
  </w:style>
  <w:style w:type="paragraph" w:styleId="EnvelopeReturn">
    <w:name w:val="envelope return"/>
    <w:basedOn w:val="Normal"/>
    <w:rsid w:val="00411E9E"/>
    <w:rPr>
      <w:rFonts w:eastAsiaTheme="majorEastAsia" w:cstheme="majorBidi"/>
      <w:sz w:val="20"/>
      <w:szCs w:val="20"/>
    </w:rPr>
  </w:style>
  <w:style w:type="paragraph" w:styleId="MessageHeader">
    <w:name w:val="Message Header"/>
    <w:basedOn w:val="Normal"/>
    <w:link w:val="MessageHeaderChar"/>
    <w:rsid w:val="00411E9E"/>
    <w:pPr>
      <w:pBdr>
        <w:top w:val="single" w:sz="6" w:space="1" w:color="auto"/>
        <w:left w:val="single" w:sz="6" w:space="1" w:color="auto"/>
        <w:bottom w:val="single" w:sz="6" w:space="1" w:color="auto"/>
        <w:right w:val="single" w:sz="6" w:space="1" w:color="auto"/>
      </w:pBdr>
      <w:shd w:val="pct20" w:color="auto" w:fill="auto"/>
      <w:ind w:left="1134" w:hanging="1134"/>
    </w:pPr>
    <w:rPr>
      <w:rFonts w:eastAsiaTheme="majorEastAsia" w:cstheme="majorBidi"/>
    </w:rPr>
  </w:style>
  <w:style w:type="character" w:customStyle="1" w:styleId="MessageHeaderChar">
    <w:name w:val="Message Header Char"/>
    <w:basedOn w:val="DefaultParagraphFont"/>
    <w:link w:val="MessageHeader"/>
    <w:rsid w:val="00411E9E"/>
    <w:rPr>
      <w:rFonts w:ascii="Tahoma" w:eastAsiaTheme="majorEastAsia" w:hAnsi="Tahoma" w:cstheme="majorBidi"/>
      <w:sz w:val="22"/>
      <w:szCs w:val="24"/>
      <w:shd w:val="pct20" w:color="auto" w:fill="auto"/>
      <w:lang w:val="en-US" w:eastAsia="en-US"/>
    </w:rPr>
  </w:style>
  <w:style w:type="paragraph" w:styleId="BlockText">
    <w:name w:val="Block Text"/>
    <w:basedOn w:val="Normal"/>
    <w:rsid w:val="00411E9E"/>
    <w:pPr>
      <w:pBdr>
        <w:top w:val="single" w:sz="2" w:space="10" w:color="A10058" w:themeColor="accent1" w:frame="1"/>
        <w:left w:val="single" w:sz="2" w:space="10" w:color="A10058" w:themeColor="accent1" w:frame="1"/>
        <w:bottom w:val="single" w:sz="2" w:space="10" w:color="A10058" w:themeColor="accent1" w:frame="1"/>
        <w:right w:val="single" w:sz="2" w:space="10" w:color="A10058" w:themeColor="accent1" w:frame="1"/>
      </w:pBdr>
      <w:ind w:left="1152" w:right="1152"/>
    </w:pPr>
    <w:rPr>
      <w:i/>
      <w:iCs/>
      <w:color w:val="A10058" w:themeColor="accent1"/>
    </w:rPr>
  </w:style>
  <w:style w:type="paragraph" w:styleId="TableofAuthorities">
    <w:name w:val="table of authorities"/>
    <w:basedOn w:val="Normal"/>
    <w:next w:val="Normal"/>
    <w:rsid w:val="00411E9E"/>
    <w:pPr>
      <w:ind w:left="220" w:hanging="220"/>
    </w:pPr>
  </w:style>
  <w:style w:type="table" w:styleId="TableSimple1">
    <w:name w:val="Table Simple 1"/>
    <w:basedOn w:val="TableNormal"/>
    <w:rsid w:val="00411E9E"/>
    <w:rPr>
      <w:rFonts w:ascii="Minion Pro" w:hAnsi="Minion Pro"/>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411E9E"/>
    <w:rPr>
      <w:rFonts w:ascii="Minion Pro" w:hAnsi="Minion Pro"/>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411E9E"/>
    <w:rPr>
      <w:rFonts w:ascii="Minion Pro" w:hAnsi="Minion Pro"/>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Contemporary">
    <w:name w:val="Table Contemporary"/>
    <w:basedOn w:val="TableNormal"/>
    <w:rsid w:val="00411E9E"/>
    <w:rPr>
      <w:rFonts w:ascii="Minion Pro" w:hAnsi="Minion Pro"/>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EndnoteReference">
    <w:name w:val="endnote reference"/>
    <w:basedOn w:val="DefaultParagraphFont"/>
    <w:rsid w:val="00411E9E"/>
    <w:rPr>
      <w:rFonts w:ascii="Tahoma" w:hAnsi="Tahoma"/>
      <w:vertAlign w:val="superscript"/>
    </w:rPr>
  </w:style>
  <w:style w:type="table" w:styleId="TableElegant">
    <w:name w:val="Table Elegant"/>
    <w:basedOn w:val="TableNormal"/>
    <w:rsid w:val="00411E9E"/>
    <w:rPr>
      <w:rFonts w:ascii="Minion Pro" w:hAnsi="Minion Pro"/>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ex1">
    <w:name w:val="index 1"/>
    <w:basedOn w:val="Normal"/>
    <w:next w:val="Normal"/>
    <w:autoRedefine/>
    <w:rsid w:val="00411E9E"/>
    <w:pPr>
      <w:ind w:left="220" w:hanging="220"/>
    </w:pPr>
  </w:style>
  <w:style w:type="paragraph" w:styleId="IndexHeading">
    <w:name w:val="index heading"/>
    <w:basedOn w:val="Normal"/>
    <w:next w:val="Index1"/>
    <w:rsid w:val="00411E9E"/>
    <w:rPr>
      <w:rFonts w:ascii="Minion Pro" w:eastAsiaTheme="majorEastAsia" w:hAnsi="Minion Pro" w:cstheme="majorBidi"/>
      <w:b/>
      <w:bCs/>
    </w:rPr>
  </w:style>
  <w:style w:type="table" w:styleId="TableClassic1">
    <w:name w:val="Table Classic 1"/>
    <w:basedOn w:val="TableNormal"/>
    <w:rsid w:val="00411E9E"/>
    <w:rPr>
      <w:rFonts w:ascii="Minion Pro" w:hAnsi="Minion Pr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411E9E"/>
    <w:rPr>
      <w:rFonts w:ascii="Minion Pro" w:hAnsi="Minion Pr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411E9E"/>
    <w:rPr>
      <w:rFonts w:ascii="Minion Pro" w:hAnsi="Minion Pro"/>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411E9E"/>
    <w:rPr>
      <w:rFonts w:ascii="Minion Pro" w:hAnsi="Minion Pro"/>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411E9E"/>
    <w:rPr>
      <w:rFonts w:ascii="Minion Pro" w:hAnsi="Minion Pro"/>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411E9E"/>
    <w:rPr>
      <w:rFonts w:ascii="Minion Pro" w:hAnsi="Minion Pro"/>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411E9E"/>
    <w:rPr>
      <w:rFonts w:ascii="Minion Pro" w:hAnsi="Minion Pro"/>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Heading2Char">
    <w:name w:val="Heading 2 Char"/>
    <w:basedOn w:val="DefaultParagraphFont"/>
    <w:link w:val="Heading2"/>
    <w:uiPriority w:val="9"/>
    <w:rsid w:val="003A337D"/>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3A337D"/>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3A337D"/>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3A337D"/>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3A337D"/>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3A337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3A337D"/>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3A337D"/>
    <w:rPr>
      <w:rFonts w:asciiTheme="majorHAnsi" w:eastAsiaTheme="majorEastAsia" w:hAnsiTheme="majorHAnsi" w:cstheme="majorBidi"/>
      <w:i/>
      <w:iCs/>
      <w:spacing w:val="5"/>
      <w:sz w:val="20"/>
      <w:szCs w:val="20"/>
    </w:rPr>
  </w:style>
  <w:style w:type="paragraph" w:styleId="TOAHeading">
    <w:name w:val="toa heading"/>
    <w:basedOn w:val="Normal"/>
    <w:next w:val="Normal"/>
    <w:rsid w:val="00411E9E"/>
    <w:pPr>
      <w:spacing w:before="120"/>
    </w:pPr>
    <w:rPr>
      <w:rFonts w:ascii="Minion Pro" w:eastAsiaTheme="majorEastAsia" w:hAnsi="Minion Pro" w:cstheme="majorBidi"/>
      <w:b/>
      <w:bCs/>
    </w:rPr>
  </w:style>
  <w:style w:type="paragraph" w:styleId="Subtitle">
    <w:name w:val="Subtitle"/>
    <w:basedOn w:val="Normal"/>
    <w:next w:val="Normal"/>
    <w:link w:val="SubtitleChar"/>
    <w:uiPriority w:val="11"/>
    <w:qFormat/>
    <w:rsid w:val="003A337D"/>
    <w:pPr>
      <w:spacing w:after="600"/>
    </w:pPr>
    <w:rPr>
      <w:rFonts w:asciiTheme="majorHAnsi" w:eastAsiaTheme="majorEastAsia" w:hAnsiTheme="majorHAnsi" w:cstheme="majorBidi"/>
      <w:i/>
      <w:iCs/>
      <w:spacing w:val="13"/>
      <w:szCs w:val="24"/>
    </w:rPr>
  </w:style>
  <w:style w:type="character" w:customStyle="1" w:styleId="SubtitleChar">
    <w:name w:val="Subtitle Char"/>
    <w:basedOn w:val="DefaultParagraphFont"/>
    <w:link w:val="Subtitle"/>
    <w:uiPriority w:val="11"/>
    <w:rsid w:val="003A337D"/>
    <w:rPr>
      <w:rFonts w:asciiTheme="majorHAnsi" w:eastAsiaTheme="majorEastAsia" w:hAnsiTheme="majorHAnsi" w:cstheme="majorBidi"/>
      <w:i/>
      <w:iCs/>
      <w:spacing w:val="13"/>
      <w:sz w:val="24"/>
      <w:szCs w:val="24"/>
    </w:rPr>
  </w:style>
  <w:style w:type="table" w:styleId="TableProfessional">
    <w:name w:val="Table Professional"/>
    <w:basedOn w:val="TableNormal"/>
    <w:rsid w:val="00411E9E"/>
    <w:rPr>
      <w:rFonts w:ascii="Minion Pro" w:hAnsi="Minion Pro"/>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411E9E"/>
    <w:rPr>
      <w:rFonts w:ascii="Minion Pro" w:hAnsi="Minion Pro"/>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411E9E"/>
    <w:rPr>
      <w:rFonts w:ascii="Minion Pro" w:hAnsi="Minion Pro"/>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411E9E"/>
    <w:rPr>
      <w:rFonts w:ascii="Minion Pro" w:hAnsi="Minion Pro"/>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411E9E"/>
    <w:rPr>
      <w:rFonts w:ascii="Minion Pro" w:hAnsi="Minion Pro"/>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411E9E"/>
    <w:rPr>
      <w:rFonts w:ascii="Minion Pro" w:hAnsi="Minion Pro"/>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rsid w:val="00411E9E"/>
    <w:rPr>
      <w:rFonts w:ascii="Minion Pro" w:hAnsi="Minion Pro"/>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411E9E"/>
    <w:rPr>
      <w:rFonts w:ascii="Minion Pro" w:hAnsi="Minion Pro"/>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411E9E"/>
    <w:rPr>
      <w:rFonts w:ascii="Minion Pro" w:hAnsi="Minion Pro"/>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411E9E"/>
    <w:rPr>
      <w:rFonts w:ascii="Minion Pro" w:hAnsi="Minion Pro"/>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411E9E"/>
    <w:rPr>
      <w:rFonts w:ascii="Minion Pro" w:hAnsi="Minion Pro"/>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411E9E"/>
    <w:rPr>
      <w:rFonts w:ascii="Minion Pro" w:hAnsi="Minion Pro"/>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411E9E"/>
    <w:rPr>
      <w:rFonts w:ascii="Minion Pro" w:hAnsi="Minion Pro"/>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411E9E"/>
    <w:rPr>
      <w:rFonts w:ascii="Minion Pro" w:hAnsi="Minion Pro"/>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Grid">
    <w:name w:val="Table Grid"/>
    <w:basedOn w:val="TableNormal"/>
    <w:rsid w:val="00411E9E"/>
    <w:rPr>
      <w:rFonts w:ascii="Minion Pro" w:hAnsi="Minion P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411E9E"/>
    <w:rPr>
      <w:rFonts w:ascii="Minion Pro" w:hAnsi="Minion Pro"/>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itleChar">
    <w:name w:val="Title Char"/>
    <w:basedOn w:val="DefaultParagraphFont"/>
    <w:link w:val="Title"/>
    <w:uiPriority w:val="10"/>
    <w:rsid w:val="003A337D"/>
    <w:rPr>
      <w:rFonts w:asciiTheme="majorHAnsi" w:eastAsiaTheme="majorEastAsia" w:hAnsiTheme="majorHAnsi" w:cstheme="majorBidi"/>
      <w:spacing w:val="5"/>
      <w:sz w:val="52"/>
      <w:szCs w:val="52"/>
    </w:rPr>
  </w:style>
  <w:style w:type="paragraph" w:styleId="ListParagraph">
    <w:name w:val="List Paragraph"/>
    <w:basedOn w:val="Normal"/>
    <w:uiPriority w:val="1"/>
    <w:qFormat/>
    <w:rsid w:val="003A337D"/>
    <w:pPr>
      <w:ind w:left="720"/>
      <w:contextualSpacing/>
    </w:pPr>
  </w:style>
  <w:style w:type="paragraph" w:styleId="NoSpacing">
    <w:name w:val="No Spacing"/>
    <w:basedOn w:val="Normal"/>
    <w:uiPriority w:val="1"/>
    <w:qFormat/>
    <w:rsid w:val="003A337D"/>
    <w:pPr>
      <w:spacing w:after="0" w:line="240" w:lineRule="auto"/>
    </w:pPr>
  </w:style>
  <w:style w:type="character" w:styleId="SubtleReference">
    <w:name w:val="Subtle Reference"/>
    <w:uiPriority w:val="31"/>
    <w:qFormat/>
    <w:rsid w:val="003A337D"/>
    <w:rPr>
      <w:smallCaps/>
    </w:rPr>
  </w:style>
  <w:style w:type="character" w:styleId="Emphasis">
    <w:name w:val="Emphasis"/>
    <w:uiPriority w:val="20"/>
    <w:qFormat/>
    <w:rsid w:val="003A337D"/>
    <w:rPr>
      <w:b/>
      <w:bCs/>
      <w:i/>
      <w:iCs/>
      <w:spacing w:val="10"/>
      <w:bdr w:val="none" w:sz="0" w:space="0" w:color="auto"/>
      <w:shd w:val="clear" w:color="auto" w:fill="auto"/>
    </w:rPr>
  </w:style>
  <w:style w:type="paragraph" w:styleId="Quote">
    <w:name w:val="Quote"/>
    <w:basedOn w:val="Normal"/>
    <w:next w:val="Normal"/>
    <w:link w:val="QuoteChar"/>
    <w:uiPriority w:val="29"/>
    <w:qFormat/>
    <w:rsid w:val="003A337D"/>
    <w:pPr>
      <w:spacing w:before="200" w:after="0"/>
      <w:ind w:left="360" w:right="360"/>
    </w:pPr>
    <w:rPr>
      <w:i/>
      <w:iCs/>
    </w:rPr>
  </w:style>
  <w:style w:type="character" w:customStyle="1" w:styleId="QuoteChar">
    <w:name w:val="Quote Char"/>
    <w:basedOn w:val="DefaultParagraphFont"/>
    <w:link w:val="Quote"/>
    <w:uiPriority w:val="29"/>
    <w:rsid w:val="003A337D"/>
    <w:rPr>
      <w:i/>
      <w:iCs/>
    </w:rPr>
  </w:style>
  <w:style w:type="paragraph" w:styleId="IntenseQuote">
    <w:name w:val="Intense Quote"/>
    <w:basedOn w:val="Normal"/>
    <w:next w:val="Normal"/>
    <w:link w:val="IntenseQuoteChar"/>
    <w:uiPriority w:val="30"/>
    <w:qFormat/>
    <w:rsid w:val="003A337D"/>
    <w:pPr>
      <w:pBdr>
        <w:bottom w:val="single" w:sz="4" w:space="1" w:color="auto"/>
      </w:pBdr>
      <w:spacing w:before="200" w:after="280"/>
      <w:ind w:left="1008" w:right="1152"/>
    </w:pPr>
    <w:rPr>
      <w:b/>
      <w:bCs/>
      <w:i/>
      <w:iCs/>
    </w:rPr>
  </w:style>
  <w:style w:type="character" w:customStyle="1" w:styleId="IntenseQuoteChar">
    <w:name w:val="Intense Quote Char"/>
    <w:basedOn w:val="DefaultParagraphFont"/>
    <w:link w:val="IntenseQuote"/>
    <w:uiPriority w:val="30"/>
    <w:rsid w:val="003A337D"/>
    <w:rPr>
      <w:b/>
      <w:bCs/>
      <w:i/>
      <w:iCs/>
    </w:rPr>
  </w:style>
  <w:style w:type="character" w:styleId="SubtleEmphasis">
    <w:name w:val="Subtle Emphasis"/>
    <w:uiPriority w:val="19"/>
    <w:qFormat/>
    <w:rsid w:val="003A337D"/>
    <w:rPr>
      <w:i/>
      <w:iCs/>
    </w:rPr>
  </w:style>
  <w:style w:type="character" w:styleId="IntenseEmphasis">
    <w:name w:val="Intense Emphasis"/>
    <w:uiPriority w:val="21"/>
    <w:qFormat/>
    <w:rsid w:val="003A337D"/>
    <w:rPr>
      <w:b/>
      <w:bCs/>
    </w:rPr>
  </w:style>
  <w:style w:type="character" w:styleId="IntenseReference">
    <w:name w:val="Intense Reference"/>
    <w:uiPriority w:val="32"/>
    <w:qFormat/>
    <w:rsid w:val="003A337D"/>
    <w:rPr>
      <w:smallCaps/>
      <w:spacing w:val="5"/>
      <w:u w:val="single"/>
    </w:rPr>
  </w:style>
  <w:style w:type="character" w:styleId="BookTitle">
    <w:name w:val="Book Title"/>
    <w:uiPriority w:val="33"/>
    <w:qFormat/>
    <w:rsid w:val="003A337D"/>
    <w:rPr>
      <w:i/>
      <w:iCs/>
      <w:smallCaps/>
      <w:spacing w:val="5"/>
    </w:rPr>
  </w:style>
  <w:style w:type="paragraph" w:styleId="TOCHeading">
    <w:name w:val="TOC Heading"/>
    <w:basedOn w:val="Heading1"/>
    <w:next w:val="Normal"/>
    <w:uiPriority w:val="39"/>
    <w:unhideWhenUsed/>
    <w:qFormat/>
    <w:rsid w:val="003A337D"/>
    <w:pPr>
      <w:outlineLvl w:val="9"/>
    </w:pPr>
    <w:rPr>
      <w:lang w:bidi="en-US"/>
    </w:rPr>
  </w:style>
  <w:style w:type="character" w:styleId="Hyperlink">
    <w:name w:val="Hyperlink"/>
    <w:uiPriority w:val="99"/>
    <w:rsid w:val="000276EB"/>
    <w:rPr>
      <w:color w:val="0000FF"/>
      <w:u w:val="single"/>
    </w:rPr>
  </w:style>
  <w:style w:type="paragraph" w:styleId="TOC1">
    <w:name w:val="toc 1"/>
    <w:basedOn w:val="Normal"/>
    <w:next w:val="Normal"/>
    <w:autoRedefine/>
    <w:uiPriority w:val="39"/>
    <w:rsid w:val="000276EB"/>
    <w:pPr>
      <w:spacing w:before="120" w:after="0"/>
    </w:pPr>
    <w:rPr>
      <w:rFonts w:cstheme="minorHAnsi"/>
      <w:b/>
      <w:szCs w:val="24"/>
    </w:rPr>
  </w:style>
  <w:style w:type="paragraph" w:styleId="TOC2">
    <w:name w:val="toc 2"/>
    <w:basedOn w:val="Normal"/>
    <w:next w:val="Normal"/>
    <w:autoRedefine/>
    <w:uiPriority w:val="39"/>
    <w:rsid w:val="004A3D8A"/>
    <w:pPr>
      <w:tabs>
        <w:tab w:val="left" w:pos="641"/>
        <w:tab w:val="right" w:leader="dot" w:pos="9061"/>
      </w:tabs>
      <w:spacing w:after="0"/>
      <w:ind w:left="220"/>
      <w:jc w:val="left"/>
    </w:pPr>
    <w:rPr>
      <w:rFonts w:cstheme="minorHAnsi"/>
      <w:b/>
    </w:rPr>
  </w:style>
  <w:style w:type="paragraph" w:styleId="TOC3">
    <w:name w:val="toc 3"/>
    <w:basedOn w:val="Normal"/>
    <w:next w:val="Normal"/>
    <w:autoRedefine/>
    <w:uiPriority w:val="39"/>
    <w:rsid w:val="003C2864"/>
    <w:pPr>
      <w:spacing w:after="0"/>
      <w:ind w:left="440"/>
    </w:pPr>
    <w:rPr>
      <w:rFonts w:cstheme="minorHAnsi"/>
    </w:rPr>
  </w:style>
  <w:style w:type="paragraph" w:customStyle="1" w:styleId="Default">
    <w:name w:val="Default"/>
    <w:rsid w:val="008A1BB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body-text">
    <w:name w:val="body-text"/>
    <w:link w:val="body-textChar"/>
    <w:uiPriority w:val="99"/>
    <w:rsid w:val="008C0ED9"/>
    <w:pPr>
      <w:spacing w:after="0" w:line="240" w:lineRule="auto"/>
      <w:ind w:firstLine="230"/>
      <w:jc w:val="both"/>
    </w:pPr>
    <w:rPr>
      <w:rFonts w:ascii="Times" w:eastAsia="Times New Roman" w:hAnsi="Times" w:cs="Times New Roman"/>
      <w:color w:val="000000"/>
      <w:sz w:val="20"/>
      <w:szCs w:val="20"/>
      <w:lang w:val="en-US" w:eastAsia="en-US"/>
    </w:rPr>
  </w:style>
  <w:style w:type="character" w:customStyle="1" w:styleId="body-textChar">
    <w:name w:val="body-text Char"/>
    <w:link w:val="body-text"/>
    <w:uiPriority w:val="99"/>
    <w:rsid w:val="008C0ED9"/>
    <w:rPr>
      <w:rFonts w:ascii="Times" w:eastAsia="Times New Roman" w:hAnsi="Times" w:cs="Times New Roman"/>
      <w:color w:val="000000"/>
      <w:sz w:val="20"/>
      <w:szCs w:val="20"/>
      <w:lang w:val="en-US" w:eastAsia="en-US"/>
    </w:rPr>
  </w:style>
  <w:style w:type="paragraph" w:styleId="TOC4">
    <w:name w:val="toc 4"/>
    <w:basedOn w:val="Normal"/>
    <w:next w:val="Normal"/>
    <w:autoRedefine/>
    <w:rsid w:val="00116320"/>
    <w:pPr>
      <w:spacing w:after="0"/>
      <w:ind w:left="660"/>
    </w:pPr>
    <w:rPr>
      <w:rFonts w:cstheme="minorHAnsi"/>
      <w:sz w:val="20"/>
      <w:szCs w:val="20"/>
    </w:rPr>
  </w:style>
  <w:style w:type="paragraph" w:styleId="TOC5">
    <w:name w:val="toc 5"/>
    <w:basedOn w:val="Normal"/>
    <w:next w:val="Normal"/>
    <w:autoRedefine/>
    <w:rsid w:val="00116320"/>
    <w:pPr>
      <w:spacing w:after="0"/>
      <w:ind w:left="880"/>
    </w:pPr>
    <w:rPr>
      <w:rFonts w:cstheme="minorHAnsi"/>
      <w:sz w:val="20"/>
      <w:szCs w:val="20"/>
    </w:rPr>
  </w:style>
  <w:style w:type="paragraph" w:styleId="TOC6">
    <w:name w:val="toc 6"/>
    <w:basedOn w:val="Normal"/>
    <w:next w:val="Normal"/>
    <w:autoRedefine/>
    <w:rsid w:val="00116320"/>
    <w:pPr>
      <w:spacing w:after="0"/>
      <w:ind w:left="1100"/>
    </w:pPr>
    <w:rPr>
      <w:rFonts w:cstheme="minorHAnsi"/>
      <w:sz w:val="20"/>
      <w:szCs w:val="20"/>
    </w:rPr>
  </w:style>
  <w:style w:type="paragraph" w:styleId="TOC7">
    <w:name w:val="toc 7"/>
    <w:basedOn w:val="Normal"/>
    <w:next w:val="Normal"/>
    <w:autoRedefine/>
    <w:rsid w:val="00116320"/>
    <w:pPr>
      <w:spacing w:after="0"/>
      <w:ind w:left="1320"/>
    </w:pPr>
    <w:rPr>
      <w:rFonts w:cstheme="minorHAnsi"/>
      <w:sz w:val="20"/>
      <w:szCs w:val="20"/>
    </w:rPr>
  </w:style>
  <w:style w:type="paragraph" w:styleId="TOC8">
    <w:name w:val="toc 8"/>
    <w:basedOn w:val="Normal"/>
    <w:next w:val="Normal"/>
    <w:autoRedefine/>
    <w:rsid w:val="00116320"/>
    <w:pPr>
      <w:spacing w:after="0"/>
      <w:ind w:left="1540"/>
    </w:pPr>
    <w:rPr>
      <w:rFonts w:cstheme="minorHAnsi"/>
      <w:sz w:val="20"/>
      <w:szCs w:val="20"/>
    </w:rPr>
  </w:style>
  <w:style w:type="paragraph" w:styleId="TOC9">
    <w:name w:val="toc 9"/>
    <w:basedOn w:val="Normal"/>
    <w:next w:val="Normal"/>
    <w:autoRedefine/>
    <w:rsid w:val="00116320"/>
    <w:pPr>
      <w:spacing w:after="0"/>
      <w:ind w:left="1760"/>
    </w:pPr>
    <w:rPr>
      <w:rFonts w:cs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footer" w:uiPriority="99"/>
    <w:lsdException w:name="caption" w:semiHidden="1" w:unhideWhenUsed="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205E1"/>
    <w:pPr>
      <w:jc w:val="both"/>
    </w:pPr>
    <w:rPr>
      <w:sz w:val="24"/>
    </w:rPr>
  </w:style>
  <w:style w:type="paragraph" w:styleId="Heading1">
    <w:name w:val="heading 1"/>
    <w:basedOn w:val="Normal"/>
    <w:next w:val="Normal"/>
    <w:link w:val="Heading1Char"/>
    <w:uiPriority w:val="9"/>
    <w:qFormat/>
    <w:rsid w:val="003A337D"/>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3A337D"/>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3A337D"/>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3A337D"/>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3A337D"/>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3A337D"/>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3A337D"/>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3A337D"/>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3A337D"/>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81C4A"/>
    <w:pPr>
      <w:tabs>
        <w:tab w:val="center" w:pos="4536"/>
        <w:tab w:val="right" w:pos="9072"/>
      </w:tabs>
    </w:pPr>
  </w:style>
  <w:style w:type="character" w:customStyle="1" w:styleId="HeaderChar">
    <w:name w:val="Header Char"/>
    <w:basedOn w:val="DefaultParagraphFont"/>
    <w:link w:val="Header"/>
    <w:rsid w:val="00381C4A"/>
    <w:rPr>
      <w:sz w:val="24"/>
      <w:szCs w:val="24"/>
      <w:lang w:val="en-US" w:eastAsia="en-US"/>
    </w:rPr>
  </w:style>
  <w:style w:type="paragraph" w:styleId="Footer">
    <w:name w:val="footer"/>
    <w:basedOn w:val="Normal"/>
    <w:link w:val="FooterChar"/>
    <w:uiPriority w:val="99"/>
    <w:rsid w:val="00DB200B"/>
    <w:pPr>
      <w:tabs>
        <w:tab w:val="center" w:pos="4536"/>
        <w:tab w:val="right" w:pos="9072"/>
      </w:tabs>
    </w:pPr>
  </w:style>
  <w:style w:type="character" w:customStyle="1" w:styleId="FooterChar">
    <w:name w:val="Footer Char"/>
    <w:basedOn w:val="DefaultParagraphFont"/>
    <w:link w:val="Footer"/>
    <w:uiPriority w:val="99"/>
    <w:rsid w:val="00DB200B"/>
    <w:rPr>
      <w:rFonts w:ascii="Tahoma" w:hAnsi="Tahoma"/>
      <w:sz w:val="22"/>
      <w:szCs w:val="24"/>
      <w:lang w:val="en-US" w:eastAsia="en-US"/>
    </w:rPr>
  </w:style>
  <w:style w:type="paragraph" w:styleId="BalloonText">
    <w:name w:val="Balloon Text"/>
    <w:basedOn w:val="Normal"/>
    <w:link w:val="BalloonTextChar"/>
    <w:rsid w:val="00381C4A"/>
    <w:rPr>
      <w:rFonts w:cs="Tahoma"/>
      <w:sz w:val="16"/>
      <w:szCs w:val="16"/>
    </w:rPr>
  </w:style>
  <w:style w:type="character" w:customStyle="1" w:styleId="BalloonTextChar">
    <w:name w:val="Balloon Text Char"/>
    <w:basedOn w:val="DefaultParagraphFont"/>
    <w:link w:val="BalloonText"/>
    <w:rsid w:val="00381C4A"/>
    <w:rPr>
      <w:rFonts w:ascii="Tahoma" w:hAnsi="Tahoma" w:cs="Tahoma"/>
      <w:sz w:val="16"/>
      <w:szCs w:val="16"/>
      <w:lang w:val="en-US" w:eastAsia="en-US"/>
    </w:rPr>
  </w:style>
  <w:style w:type="paragraph" w:styleId="NormalWeb">
    <w:name w:val="Normal (Web)"/>
    <w:basedOn w:val="Normal"/>
    <w:uiPriority w:val="99"/>
    <w:unhideWhenUsed/>
    <w:rsid w:val="004E04F1"/>
    <w:pPr>
      <w:spacing w:before="100" w:beforeAutospacing="1" w:after="100" w:afterAutospacing="1"/>
    </w:pPr>
  </w:style>
  <w:style w:type="character" w:styleId="Strong">
    <w:name w:val="Strong"/>
    <w:uiPriority w:val="22"/>
    <w:qFormat/>
    <w:rsid w:val="003A337D"/>
    <w:rPr>
      <w:b/>
      <w:bCs/>
    </w:rPr>
  </w:style>
  <w:style w:type="character" w:customStyle="1" w:styleId="Heading1Char">
    <w:name w:val="Heading 1 Char"/>
    <w:basedOn w:val="DefaultParagraphFont"/>
    <w:link w:val="Heading1"/>
    <w:uiPriority w:val="9"/>
    <w:rsid w:val="003A337D"/>
    <w:rPr>
      <w:rFonts w:asciiTheme="majorHAnsi" w:eastAsiaTheme="majorEastAsia" w:hAnsiTheme="majorHAnsi" w:cstheme="majorBidi"/>
      <w:b/>
      <w:bCs/>
      <w:sz w:val="28"/>
      <w:szCs w:val="28"/>
    </w:rPr>
  </w:style>
  <w:style w:type="paragraph" w:styleId="Title">
    <w:name w:val="Title"/>
    <w:basedOn w:val="Normal"/>
    <w:next w:val="Normal"/>
    <w:link w:val="TitleChar"/>
    <w:uiPriority w:val="10"/>
    <w:qFormat/>
    <w:rsid w:val="003A337D"/>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table" w:styleId="Table3Deffects1">
    <w:name w:val="Table 3D effects 1"/>
    <w:basedOn w:val="TableNormal"/>
    <w:rsid w:val="00411E9E"/>
    <w:rPr>
      <w:rFonts w:ascii="Minion Pro" w:hAnsi="Minion Pro"/>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411E9E"/>
    <w:rPr>
      <w:rFonts w:ascii="Minion Pro" w:hAnsi="Minion Pro"/>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411E9E"/>
    <w:rPr>
      <w:rFonts w:ascii="Minion Pro" w:hAnsi="Minion Pro"/>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EnvelopeAddress">
    <w:name w:val="envelope address"/>
    <w:basedOn w:val="Normal"/>
    <w:rsid w:val="00411E9E"/>
    <w:pPr>
      <w:framePr w:w="7920" w:h="1980" w:hRule="exact" w:hSpace="141" w:wrap="auto" w:hAnchor="page" w:xAlign="center" w:yAlign="bottom"/>
      <w:ind w:left="2880"/>
    </w:pPr>
    <w:rPr>
      <w:rFonts w:eastAsiaTheme="majorEastAsia" w:cstheme="majorBidi"/>
    </w:rPr>
  </w:style>
  <w:style w:type="paragraph" w:styleId="EnvelopeReturn">
    <w:name w:val="envelope return"/>
    <w:basedOn w:val="Normal"/>
    <w:rsid w:val="00411E9E"/>
    <w:rPr>
      <w:rFonts w:eastAsiaTheme="majorEastAsia" w:cstheme="majorBidi"/>
      <w:sz w:val="20"/>
      <w:szCs w:val="20"/>
    </w:rPr>
  </w:style>
  <w:style w:type="paragraph" w:styleId="MessageHeader">
    <w:name w:val="Message Header"/>
    <w:basedOn w:val="Normal"/>
    <w:link w:val="MessageHeaderChar"/>
    <w:rsid w:val="00411E9E"/>
    <w:pPr>
      <w:pBdr>
        <w:top w:val="single" w:sz="6" w:space="1" w:color="auto"/>
        <w:left w:val="single" w:sz="6" w:space="1" w:color="auto"/>
        <w:bottom w:val="single" w:sz="6" w:space="1" w:color="auto"/>
        <w:right w:val="single" w:sz="6" w:space="1" w:color="auto"/>
      </w:pBdr>
      <w:shd w:val="pct20" w:color="auto" w:fill="auto"/>
      <w:ind w:left="1134" w:hanging="1134"/>
    </w:pPr>
    <w:rPr>
      <w:rFonts w:eastAsiaTheme="majorEastAsia" w:cstheme="majorBidi"/>
    </w:rPr>
  </w:style>
  <w:style w:type="character" w:customStyle="1" w:styleId="MessageHeaderChar">
    <w:name w:val="Message Header Char"/>
    <w:basedOn w:val="DefaultParagraphFont"/>
    <w:link w:val="MessageHeader"/>
    <w:rsid w:val="00411E9E"/>
    <w:rPr>
      <w:rFonts w:ascii="Tahoma" w:eastAsiaTheme="majorEastAsia" w:hAnsi="Tahoma" w:cstheme="majorBidi"/>
      <w:sz w:val="22"/>
      <w:szCs w:val="24"/>
      <w:shd w:val="pct20" w:color="auto" w:fill="auto"/>
      <w:lang w:val="en-US" w:eastAsia="en-US"/>
    </w:rPr>
  </w:style>
  <w:style w:type="paragraph" w:styleId="BlockText">
    <w:name w:val="Block Text"/>
    <w:basedOn w:val="Normal"/>
    <w:rsid w:val="00411E9E"/>
    <w:pPr>
      <w:pBdr>
        <w:top w:val="single" w:sz="2" w:space="10" w:color="A10058" w:themeColor="accent1" w:frame="1"/>
        <w:left w:val="single" w:sz="2" w:space="10" w:color="A10058" w:themeColor="accent1" w:frame="1"/>
        <w:bottom w:val="single" w:sz="2" w:space="10" w:color="A10058" w:themeColor="accent1" w:frame="1"/>
        <w:right w:val="single" w:sz="2" w:space="10" w:color="A10058" w:themeColor="accent1" w:frame="1"/>
      </w:pBdr>
      <w:ind w:left="1152" w:right="1152"/>
    </w:pPr>
    <w:rPr>
      <w:i/>
      <w:iCs/>
      <w:color w:val="A10058" w:themeColor="accent1"/>
    </w:rPr>
  </w:style>
  <w:style w:type="paragraph" w:styleId="TableofAuthorities">
    <w:name w:val="table of authorities"/>
    <w:basedOn w:val="Normal"/>
    <w:next w:val="Normal"/>
    <w:rsid w:val="00411E9E"/>
    <w:pPr>
      <w:ind w:left="220" w:hanging="220"/>
    </w:pPr>
  </w:style>
  <w:style w:type="table" w:styleId="TableSimple1">
    <w:name w:val="Table Simple 1"/>
    <w:basedOn w:val="TableNormal"/>
    <w:rsid w:val="00411E9E"/>
    <w:rPr>
      <w:rFonts w:ascii="Minion Pro" w:hAnsi="Minion Pro"/>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411E9E"/>
    <w:rPr>
      <w:rFonts w:ascii="Minion Pro" w:hAnsi="Minion Pro"/>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411E9E"/>
    <w:rPr>
      <w:rFonts w:ascii="Minion Pro" w:hAnsi="Minion Pro"/>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Contemporary">
    <w:name w:val="Table Contemporary"/>
    <w:basedOn w:val="TableNormal"/>
    <w:rsid w:val="00411E9E"/>
    <w:rPr>
      <w:rFonts w:ascii="Minion Pro" w:hAnsi="Minion Pro"/>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EndnoteReference">
    <w:name w:val="endnote reference"/>
    <w:basedOn w:val="DefaultParagraphFont"/>
    <w:rsid w:val="00411E9E"/>
    <w:rPr>
      <w:rFonts w:ascii="Tahoma" w:hAnsi="Tahoma"/>
      <w:vertAlign w:val="superscript"/>
    </w:rPr>
  </w:style>
  <w:style w:type="table" w:styleId="TableElegant">
    <w:name w:val="Table Elegant"/>
    <w:basedOn w:val="TableNormal"/>
    <w:rsid w:val="00411E9E"/>
    <w:rPr>
      <w:rFonts w:ascii="Minion Pro" w:hAnsi="Minion Pro"/>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ex1">
    <w:name w:val="index 1"/>
    <w:basedOn w:val="Normal"/>
    <w:next w:val="Normal"/>
    <w:autoRedefine/>
    <w:rsid w:val="00411E9E"/>
    <w:pPr>
      <w:ind w:left="220" w:hanging="220"/>
    </w:pPr>
  </w:style>
  <w:style w:type="paragraph" w:styleId="IndexHeading">
    <w:name w:val="index heading"/>
    <w:basedOn w:val="Normal"/>
    <w:next w:val="Index1"/>
    <w:rsid w:val="00411E9E"/>
    <w:rPr>
      <w:rFonts w:ascii="Minion Pro" w:eastAsiaTheme="majorEastAsia" w:hAnsi="Minion Pro" w:cstheme="majorBidi"/>
      <w:b/>
      <w:bCs/>
    </w:rPr>
  </w:style>
  <w:style w:type="table" w:styleId="TableClassic1">
    <w:name w:val="Table Classic 1"/>
    <w:basedOn w:val="TableNormal"/>
    <w:rsid w:val="00411E9E"/>
    <w:rPr>
      <w:rFonts w:ascii="Minion Pro" w:hAnsi="Minion Pr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411E9E"/>
    <w:rPr>
      <w:rFonts w:ascii="Minion Pro" w:hAnsi="Minion Pr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411E9E"/>
    <w:rPr>
      <w:rFonts w:ascii="Minion Pro" w:hAnsi="Minion Pro"/>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411E9E"/>
    <w:rPr>
      <w:rFonts w:ascii="Minion Pro" w:hAnsi="Minion Pro"/>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411E9E"/>
    <w:rPr>
      <w:rFonts w:ascii="Minion Pro" w:hAnsi="Minion Pro"/>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411E9E"/>
    <w:rPr>
      <w:rFonts w:ascii="Minion Pro" w:hAnsi="Minion Pro"/>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411E9E"/>
    <w:rPr>
      <w:rFonts w:ascii="Minion Pro" w:hAnsi="Minion Pro"/>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Heading2Char">
    <w:name w:val="Heading 2 Char"/>
    <w:basedOn w:val="DefaultParagraphFont"/>
    <w:link w:val="Heading2"/>
    <w:uiPriority w:val="9"/>
    <w:rsid w:val="003A337D"/>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3A337D"/>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3A337D"/>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3A337D"/>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3A337D"/>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3A337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3A337D"/>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3A337D"/>
    <w:rPr>
      <w:rFonts w:asciiTheme="majorHAnsi" w:eastAsiaTheme="majorEastAsia" w:hAnsiTheme="majorHAnsi" w:cstheme="majorBidi"/>
      <w:i/>
      <w:iCs/>
      <w:spacing w:val="5"/>
      <w:sz w:val="20"/>
      <w:szCs w:val="20"/>
    </w:rPr>
  </w:style>
  <w:style w:type="paragraph" w:styleId="TOAHeading">
    <w:name w:val="toa heading"/>
    <w:basedOn w:val="Normal"/>
    <w:next w:val="Normal"/>
    <w:rsid w:val="00411E9E"/>
    <w:pPr>
      <w:spacing w:before="120"/>
    </w:pPr>
    <w:rPr>
      <w:rFonts w:ascii="Minion Pro" w:eastAsiaTheme="majorEastAsia" w:hAnsi="Minion Pro" w:cstheme="majorBidi"/>
      <w:b/>
      <w:bCs/>
    </w:rPr>
  </w:style>
  <w:style w:type="paragraph" w:styleId="Subtitle">
    <w:name w:val="Subtitle"/>
    <w:basedOn w:val="Normal"/>
    <w:next w:val="Normal"/>
    <w:link w:val="SubtitleChar"/>
    <w:uiPriority w:val="11"/>
    <w:qFormat/>
    <w:rsid w:val="003A337D"/>
    <w:pPr>
      <w:spacing w:after="600"/>
    </w:pPr>
    <w:rPr>
      <w:rFonts w:asciiTheme="majorHAnsi" w:eastAsiaTheme="majorEastAsia" w:hAnsiTheme="majorHAnsi" w:cstheme="majorBidi"/>
      <w:i/>
      <w:iCs/>
      <w:spacing w:val="13"/>
      <w:szCs w:val="24"/>
    </w:rPr>
  </w:style>
  <w:style w:type="character" w:customStyle="1" w:styleId="SubtitleChar">
    <w:name w:val="Subtitle Char"/>
    <w:basedOn w:val="DefaultParagraphFont"/>
    <w:link w:val="Subtitle"/>
    <w:uiPriority w:val="11"/>
    <w:rsid w:val="003A337D"/>
    <w:rPr>
      <w:rFonts w:asciiTheme="majorHAnsi" w:eastAsiaTheme="majorEastAsia" w:hAnsiTheme="majorHAnsi" w:cstheme="majorBidi"/>
      <w:i/>
      <w:iCs/>
      <w:spacing w:val="13"/>
      <w:sz w:val="24"/>
      <w:szCs w:val="24"/>
    </w:rPr>
  </w:style>
  <w:style w:type="table" w:styleId="TableProfessional">
    <w:name w:val="Table Professional"/>
    <w:basedOn w:val="TableNormal"/>
    <w:rsid w:val="00411E9E"/>
    <w:rPr>
      <w:rFonts w:ascii="Minion Pro" w:hAnsi="Minion Pro"/>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411E9E"/>
    <w:rPr>
      <w:rFonts w:ascii="Minion Pro" w:hAnsi="Minion Pro"/>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411E9E"/>
    <w:rPr>
      <w:rFonts w:ascii="Minion Pro" w:hAnsi="Minion Pro"/>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411E9E"/>
    <w:rPr>
      <w:rFonts w:ascii="Minion Pro" w:hAnsi="Minion Pro"/>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411E9E"/>
    <w:rPr>
      <w:rFonts w:ascii="Minion Pro" w:hAnsi="Minion Pro"/>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411E9E"/>
    <w:rPr>
      <w:rFonts w:ascii="Minion Pro" w:hAnsi="Minion Pro"/>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rsid w:val="00411E9E"/>
    <w:rPr>
      <w:rFonts w:ascii="Minion Pro" w:hAnsi="Minion Pro"/>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411E9E"/>
    <w:rPr>
      <w:rFonts w:ascii="Minion Pro" w:hAnsi="Minion Pro"/>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411E9E"/>
    <w:rPr>
      <w:rFonts w:ascii="Minion Pro" w:hAnsi="Minion Pro"/>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411E9E"/>
    <w:rPr>
      <w:rFonts w:ascii="Minion Pro" w:hAnsi="Minion Pro"/>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411E9E"/>
    <w:rPr>
      <w:rFonts w:ascii="Minion Pro" w:hAnsi="Minion Pro"/>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411E9E"/>
    <w:rPr>
      <w:rFonts w:ascii="Minion Pro" w:hAnsi="Minion Pro"/>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411E9E"/>
    <w:rPr>
      <w:rFonts w:ascii="Minion Pro" w:hAnsi="Minion Pro"/>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411E9E"/>
    <w:rPr>
      <w:rFonts w:ascii="Minion Pro" w:hAnsi="Minion Pro"/>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Grid">
    <w:name w:val="Table Grid"/>
    <w:basedOn w:val="TableNormal"/>
    <w:rsid w:val="00411E9E"/>
    <w:rPr>
      <w:rFonts w:ascii="Minion Pro" w:hAnsi="Minion P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411E9E"/>
    <w:rPr>
      <w:rFonts w:ascii="Minion Pro" w:hAnsi="Minion Pro"/>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itleChar">
    <w:name w:val="Title Char"/>
    <w:basedOn w:val="DefaultParagraphFont"/>
    <w:link w:val="Title"/>
    <w:uiPriority w:val="10"/>
    <w:rsid w:val="003A337D"/>
    <w:rPr>
      <w:rFonts w:asciiTheme="majorHAnsi" w:eastAsiaTheme="majorEastAsia" w:hAnsiTheme="majorHAnsi" w:cstheme="majorBidi"/>
      <w:spacing w:val="5"/>
      <w:sz w:val="52"/>
      <w:szCs w:val="52"/>
    </w:rPr>
  </w:style>
  <w:style w:type="paragraph" w:styleId="ListParagraph">
    <w:name w:val="List Paragraph"/>
    <w:basedOn w:val="Normal"/>
    <w:uiPriority w:val="1"/>
    <w:qFormat/>
    <w:rsid w:val="003A337D"/>
    <w:pPr>
      <w:ind w:left="720"/>
      <w:contextualSpacing/>
    </w:pPr>
  </w:style>
  <w:style w:type="paragraph" w:styleId="NoSpacing">
    <w:name w:val="No Spacing"/>
    <w:basedOn w:val="Normal"/>
    <w:uiPriority w:val="1"/>
    <w:qFormat/>
    <w:rsid w:val="003A337D"/>
    <w:pPr>
      <w:spacing w:after="0" w:line="240" w:lineRule="auto"/>
    </w:pPr>
  </w:style>
  <w:style w:type="character" w:styleId="SubtleReference">
    <w:name w:val="Subtle Reference"/>
    <w:uiPriority w:val="31"/>
    <w:qFormat/>
    <w:rsid w:val="003A337D"/>
    <w:rPr>
      <w:smallCaps/>
    </w:rPr>
  </w:style>
  <w:style w:type="character" w:styleId="Emphasis">
    <w:name w:val="Emphasis"/>
    <w:uiPriority w:val="20"/>
    <w:qFormat/>
    <w:rsid w:val="003A337D"/>
    <w:rPr>
      <w:b/>
      <w:bCs/>
      <w:i/>
      <w:iCs/>
      <w:spacing w:val="10"/>
      <w:bdr w:val="none" w:sz="0" w:space="0" w:color="auto"/>
      <w:shd w:val="clear" w:color="auto" w:fill="auto"/>
    </w:rPr>
  </w:style>
  <w:style w:type="paragraph" w:styleId="Quote">
    <w:name w:val="Quote"/>
    <w:basedOn w:val="Normal"/>
    <w:next w:val="Normal"/>
    <w:link w:val="QuoteChar"/>
    <w:uiPriority w:val="29"/>
    <w:qFormat/>
    <w:rsid w:val="003A337D"/>
    <w:pPr>
      <w:spacing w:before="200" w:after="0"/>
      <w:ind w:left="360" w:right="360"/>
    </w:pPr>
    <w:rPr>
      <w:i/>
      <w:iCs/>
    </w:rPr>
  </w:style>
  <w:style w:type="character" w:customStyle="1" w:styleId="QuoteChar">
    <w:name w:val="Quote Char"/>
    <w:basedOn w:val="DefaultParagraphFont"/>
    <w:link w:val="Quote"/>
    <w:uiPriority w:val="29"/>
    <w:rsid w:val="003A337D"/>
    <w:rPr>
      <w:i/>
      <w:iCs/>
    </w:rPr>
  </w:style>
  <w:style w:type="paragraph" w:styleId="IntenseQuote">
    <w:name w:val="Intense Quote"/>
    <w:basedOn w:val="Normal"/>
    <w:next w:val="Normal"/>
    <w:link w:val="IntenseQuoteChar"/>
    <w:uiPriority w:val="30"/>
    <w:qFormat/>
    <w:rsid w:val="003A337D"/>
    <w:pPr>
      <w:pBdr>
        <w:bottom w:val="single" w:sz="4" w:space="1" w:color="auto"/>
      </w:pBdr>
      <w:spacing w:before="200" w:after="280"/>
      <w:ind w:left="1008" w:right="1152"/>
    </w:pPr>
    <w:rPr>
      <w:b/>
      <w:bCs/>
      <w:i/>
      <w:iCs/>
    </w:rPr>
  </w:style>
  <w:style w:type="character" w:customStyle="1" w:styleId="IntenseQuoteChar">
    <w:name w:val="Intense Quote Char"/>
    <w:basedOn w:val="DefaultParagraphFont"/>
    <w:link w:val="IntenseQuote"/>
    <w:uiPriority w:val="30"/>
    <w:rsid w:val="003A337D"/>
    <w:rPr>
      <w:b/>
      <w:bCs/>
      <w:i/>
      <w:iCs/>
    </w:rPr>
  </w:style>
  <w:style w:type="character" w:styleId="SubtleEmphasis">
    <w:name w:val="Subtle Emphasis"/>
    <w:uiPriority w:val="19"/>
    <w:qFormat/>
    <w:rsid w:val="003A337D"/>
    <w:rPr>
      <w:i/>
      <w:iCs/>
    </w:rPr>
  </w:style>
  <w:style w:type="character" w:styleId="IntenseEmphasis">
    <w:name w:val="Intense Emphasis"/>
    <w:uiPriority w:val="21"/>
    <w:qFormat/>
    <w:rsid w:val="003A337D"/>
    <w:rPr>
      <w:b/>
      <w:bCs/>
    </w:rPr>
  </w:style>
  <w:style w:type="character" w:styleId="IntenseReference">
    <w:name w:val="Intense Reference"/>
    <w:uiPriority w:val="32"/>
    <w:qFormat/>
    <w:rsid w:val="003A337D"/>
    <w:rPr>
      <w:smallCaps/>
      <w:spacing w:val="5"/>
      <w:u w:val="single"/>
    </w:rPr>
  </w:style>
  <w:style w:type="character" w:styleId="BookTitle">
    <w:name w:val="Book Title"/>
    <w:uiPriority w:val="33"/>
    <w:qFormat/>
    <w:rsid w:val="003A337D"/>
    <w:rPr>
      <w:i/>
      <w:iCs/>
      <w:smallCaps/>
      <w:spacing w:val="5"/>
    </w:rPr>
  </w:style>
  <w:style w:type="paragraph" w:styleId="TOCHeading">
    <w:name w:val="TOC Heading"/>
    <w:basedOn w:val="Heading1"/>
    <w:next w:val="Normal"/>
    <w:uiPriority w:val="39"/>
    <w:unhideWhenUsed/>
    <w:qFormat/>
    <w:rsid w:val="003A337D"/>
    <w:pPr>
      <w:outlineLvl w:val="9"/>
    </w:pPr>
    <w:rPr>
      <w:lang w:bidi="en-US"/>
    </w:rPr>
  </w:style>
  <w:style w:type="character" w:styleId="Hyperlink">
    <w:name w:val="Hyperlink"/>
    <w:uiPriority w:val="99"/>
    <w:rsid w:val="000276EB"/>
    <w:rPr>
      <w:color w:val="0000FF"/>
      <w:u w:val="single"/>
    </w:rPr>
  </w:style>
  <w:style w:type="paragraph" w:styleId="TOC1">
    <w:name w:val="toc 1"/>
    <w:basedOn w:val="Normal"/>
    <w:next w:val="Normal"/>
    <w:autoRedefine/>
    <w:uiPriority w:val="39"/>
    <w:rsid w:val="000276EB"/>
    <w:pPr>
      <w:spacing w:before="120" w:after="0"/>
    </w:pPr>
    <w:rPr>
      <w:rFonts w:cstheme="minorHAnsi"/>
      <w:b/>
      <w:szCs w:val="24"/>
    </w:rPr>
  </w:style>
  <w:style w:type="paragraph" w:styleId="TOC2">
    <w:name w:val="toc 2"/>
    <w:basedOn w:val="Normal"/>
    <w:next w:val="Normal"/>
    <w:autoRedefine/>
    <w:uiPriority w:val="39"/>
    <w:rsid w:val="004A3D8A"/>
    <w:pPr>
      <w:tabs>
        <w:tab w:val="left" w:pos="641"/>
        <w:tab w:val="right" w:leader="dot" w:pos="9061"/>
      </w:tabs>
      <w:spacing w:after="0"/>
      <w:ind w:left="220"/>
      <w:jc w:val="left"/>
    </w:pPr>
    <w:rPr>
      <w:rFonts w:cstheme="minorHAnsi"/>
      <w:b/>
    </w:rPr>
  </w:style>
  <w:style w:type="paragraph" w:styleId="TOC3">
    <w:name w:val="toc 3"/>
    <w:basedOn w:val="Normal"/>
    <w:next w:val="Normal"/>
    <w:autoRedefine/>
    <w:uiPriority w:val="39"/>
    <w:rsid w:val="003C2864"/>
    <w:pPr>
      <w:spacing w:after="0"/>
      <w:ind w:left="440"/>
    </w:pPr>
    <w:rPr>
      <w:rFonts w:cstheme="minorHAnsi"/>
    </w:rPr>
  </w:style>
  <w:style w:type="paragraph" w:customStyle="1" w:styleId="Default">
    <w:name w:val="Default"/>
    <w:rsid w:val="008A1BB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body-text">
    <w:name w:val="body-text"/>
    <w:link w:val="body-textChar"/>
    <w:uiPriority w:val="99"/>
    <w:rsid w:val="008C0ED9"/>
    <w:pPr>
      <w:spacing w:after="0" w:line="240" w:lineRule="auto"/>
      <w:ind w:firstLine="230"/>
      <w:jc w:val="both"/>
    </w:pPr>
    <w:rPr>
      <w:rFonts w:ascii="Times" w:eastAsia="Times New Roman" w:hAnsi="Times" w:cs="Times New Roman"/>
      <w:color w:val="000000"/>
      <w:sz w:val="20"/>
      <w:szCs w:val="20"/>
      <w:lang w:val="en-US" w:eastAsia="en-US"/>
    </w:rPr>
  </w:style>
  <w:style w:type="character" w:customStyle="1" w:styleId="body-textChar">
    <w:name w:val="body-text Char"/>
    <w:link w:val="body-text"/>
    <w:uiPriority w:val="99"/>
    <w:rsid w:val="008C0ED9"/>
    <w:rPr>
      <w:rFonts w:ascii="Times" w:eastAsia="Times New Roman" w:hAnsi="Times" w:cs="Times New Roman"/>
      <w:color w:val="000000"/>
      <w:sz w:val="20"/>
      <w:szCs w:val="20"/>
      <w:lang w:val="en-US" w:eastAsia="en-US"/>
    </w:rPr>
  </w:style>
  <w:style w:type="paragraph" w:styleId="TOC4">
    <w:name w:val="toc 4"/>
    <w:basedOn w:val="Normal"/>
    <w:next w:val="Normal"/>
    <w:autoRedefine/>
    <w:rsid w:val="00116320"/>
    <w:pPr>
      <w:spacing w:after="0"/>
      <w:ind w:left="660"/>
    </w:pPr>
    <w:rPr>
      <w:rFonts w:cstheme="minorHAnsi"/>
      <w:sz w:val="20"/>
      <w:szCs w:val="20"/>
    </w:rPr>
  </w:style>
  <w:style w:type="paragraph" w:styleId="TOC5">
    <w:name w:val="toc 5"/>
    <w:basedOn w:val="Normal"/>
    <w:next w:val="Normal"/>
    <w:autoRedefine/>
    <w:rsid w:val="00116320"/>
    <w:pPr>
      <w:spacing w:after="0"/>
      <w:ind w:left="880"/>
    </w:pPr>
    <w:rPr>
      <w:rFonts w:cstheme="minorHAnsi"/>
      <w:sz w:val="20"/>
      <w:szCs w:val="20"/>
    </w:rPr>
  </w:style>
  <w:style w:type="paragraph" w:styleId="TOC6">
    <w:name w:val="toc 6"/>
    <w:basedOn w:val="Normal"/>
    <w:next w:val="Normal"/>
    <w:autoRedefine/>
    <w:rsid w:val="00116320"/>
    <w:pPr>
      <w:spacing w:after="0"/>
      <w:ind w:left="1100"/>
    </w:pPr>
    <w:rPr>
      <w:rFonts w:cstheme="minorHAnsi"/>
      <w:sz w:val="20"/>
      <w:szCs w:val="20"/>
    </w:rPr>
  </w:style>
  <w:style w:type="paragraph" w:styleId="TOC7">
    <w:name w:val="toc 7"/>
    <w:basedOn w:val="Normal"/>
    <w:next w:val="Normal"/>
    <w:autoRedefine/>
    <w:rsid w:val="00116320"/>
    <w:pPr>
      <w:spacing w:after="0"/>
      <w:ind w:left="1320"/>
    </w:pPr>
    <w:rPr>
      <w:rFonts w:cstheme="minorHAnsi"/>
      <w:sz w:val="20"/>
      <w:szCs w:val="20"/>
    </w:rPr>
  </w:style>
  <w:style w:type="paragraph" w:styleId="TOC8">
    <w:name w:val="toc 8"/>
    <w:basedOn w:val="Normal"/>
    <w:next w:val="Normal"/>
    <w:autoRedefine/>
    <w:rsid w:val="00116320"/>
    <w:pPr>
      <w:spacing w:after="0"/>
      <w:ind w:left="1540"/>
    </w:pPr>
    <w:rPr>
      <w:rFonts w:cstheme="minorHAnsi"/>
      <w:sz w:val="20"/>
      <w:szCs w:val="20"/>
    </w:rPr>
  </w:style>
  <w:style w:type="paragraph" w:styleId="TOC9">
    <w:name w:val="toc 9"/>
    <w:basedOn w:val="Normal"/>
    <w:next w:val="Normal"/>
    <w:autoRedefine/>
    <w:rsid w:val="00116320"/>
    <w:pPr>
      <w:spacing w:after="0"/>
      <w:ind w:left="176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3488841">
      <w:bodyDiv w:val="1"/>
      <w:marLeft w:val="0"/>
      <w:marRight w:val="0"/>
      <w:marTop w:val="0"/>
      <w:marBottom w:val="0"/>
      <w:divBdr>
        <w:top w:val="none" w:sz="0" w:space="0" w:color="auto"/>
        <w:left w:val="none" w:sz="0" w:space="0" w:color="auto"/>
        <w:bottom w:val="none" w:sz="0" w:space="0" w:color="auto"/>
        <w:right w:val="none" w:sz="0" w:space="0" w:color="auto"/>
      </w:divBdr>
      <w:divsChild>
        <w:div w:id="690958734">
          <w:marLeft w:val="1166"/>
          <w:marRight w:val="0"/>
          <w:marTop w:val="115"/>
          <w:marBottom w:val="0"/>
          <w:divBdr>
            <w:top w:val="none" w:sz="0" w:space="0" w:color="auto"/>
            <w:left w:val="none" w:sz="0" w:space="0" w:color="auto"/>
            <w:bottom w:val="none" w:sz="0" w:space="0" w:color="auto"/>
            <w:right w:val="none" w:sz="0" w:space="0" w:color="auto"/>
          </w:divBdr>
        </w:div>
        <w:div w:id="2015910368">
          <w:marLeft w:val="1166"/>
          <w:marRight w:val="0"/>
          <w:marTop w:val="115"/>
          <w:marBottom w:val="0"/>
          <w:divBdr>
            <w:top w:val="none" w:sz="0" w:space="0" w:color="auto"/>
            <w:left w:val="none" w:sz="0" w:space="0" w:color="auto"/>
            <w:bottom w:val="none" w:sz="0" w:space="0" w:color="auto"/>
            <w:right w:val="none" w:sz="0" w:space="0" w:color="auto"/>
          </w:divBdr>
        </w:div>
        <w:div w:id="1642152652">
          <w:marLeft w:val="1166"/>
          <w:marRight w:val="0"/>
          <w:marTop w:val="115"/>
          <w:marBottom w:val="0"/>
          <w:divBdr>
            <w:top w:val="none" w:sz="0" w:space="0" w:color="auto"/>
            <w:left w:val="none" w:sz="0" w:space="0" w:color="auto"/>
            <w:bottom w:val="none" w:sz="0" w:space="0" w:color="auto"/>
            <w:right w:val="none" w:sz="0" w:space="0" w:color="auto"/>
          </w:divBdr>
        </w:div>
        <w:div w:id="1701583368">
          <w:marLeft w:val="1166"/>
          <w:marRight w:val="0"/>
          <w:marTop w:val="115"/>
          <w:marBottom w:val="0"/>
          <w:divBdr>
            <w:top w:val="none" w:sz="0" w:space="0" w:color="auto"/>
            <w:left w:val="none" w:sz="0" w:space="0" w:color="auto"/>
            <w:bottom w:val="none" w:sz="0" w:space="0" w:color="auto"/>
            <w:right w:val="none" w:sz="0" w:space="0" w:color="auto"/>
          </w:divBdr>
        </w:div>
      </w:divsChild>
    </w:div>
    <w:div w:id="1644313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en.hs-furtwangen.de/typo3temp/pics/Physical_technical_Medicine_650ae3fb70.jpg" TargetMode="Externa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O:\werk\onderwijs%20TU\Klinische%20Technologie\Lay-out%20Klinische%20Technologie\LDE-KT_doc-sjabloon.dotx" TargetMode="External"/></Relationships>
</file>

<file path=word/theme/theme1.xml><?xml version="1.0" encoding="utf-8"?>
<a:theme xmlns:a="http://schemas.openxmlformats.org/drawingml/2006/main" name="Kantoorthema">
  <a:themeElements>
    <a:clrScheme name="TU Delft">
      <a:dk1>
        <a:srgbClr val="000000"/>
      </a:dk1>
      <a:lt1>
        <a:sysClr val="window" lastClr="FFFFFF"/>
      </a:lt1>
      <a:dk2>
        <a:srgbClr val="002B60"/>
      </a:dk2>
      <a:lt2>
        <a:srgbClr val="F7EB90"/>
      </a:lt2>
      <a:accent1>
        <a:srgbClr val="A10058"/>
      </a:accent1>
      <a:accent2>
        <a:srgbClr val="ADC610"/>
      </a:accent2>
      <a:accent3>
        <a:srgbClr val="EC7F2C"/>
      </a:accent3>
      <a:accent4>
        <a:srgbClr val="7BA0C9"/>
      </a:accent4>
      <a:accent5>
        <a:srgbClr val="83267C"/>
      </a:accent5>
      <a:accent6>
        <a:srgbClr val="0093AB"/>
      </a:accent6>
      <a:hlink>
        <a:srgbClr val="007A85"/>
      </a:hlink>
      <a:folHlink>
        <a:srgbClr val="77C0D7"/>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tatus_x0020_document xmlns="685844f3-484d-46a5-8d5d-b7eef178248f">Draft</Status_x0020_document>
    <Coursecodes xmlns="685844f3-484d-46a5-8d5d-b7eef178248f"/>
    <Categorie xmlns="685844f3-484d-46a5-8d5d-b7eef178248f">
      <Value>Policy – Education</Value>
    </Categorie>
    <Studiejaar xmlns="685844f3-484d-46a5-8d5d-b7eef178248f">n.a.</Studiejaar>
    <KTTM-Tracks xmlns="685844f3-484d-46a5-8d5d-b7eef178248f" xsi:nil="true"/>
    <Studie xmlns="685844f3-484d-46a5-8d5d-b7eef178248f">
      <Value>BSc</Value>
    </Studi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36F100CADDF0A49A21796AA20FECD23" ma:contentTypeVersion="11" ma:contentTypeDescription="Create a new document." ma:contentTypeScope="" ma:versionID="7b9a59714e347fa55450241b1a968602">
  <xsd:schema xmlns:xsd="http://www.w3.org/2001/XMLSchema" xmlns:xs="http://www.w3.org/2001/XMLSchema" xmlns:p="http://schemas.microsoft.com/office/2006/metadata/properties" xmlns:ns2="685844f3-484d-46a5-8d5d-b7eef178248f" targetNamespace="http://schemas.microsoft.com/office/2006/metadata/properties" ma:root="true" ma:fieldsID="fecbd916d94c78a7a22b2b7a808020e1" ns2:_="">
    <xsd:import namespace="685844f3-484d-46a5-8d5d-b7eef178248f"/>
    <xsd:element name="properties">
      <xsd:complexType>
        <xsd:sequence>
          <xsd:element name="documentManagement">
            <xsd:complexType>
              <xsd:all>
                <xsd:element ref="ns2:Categorie" minOccurs="0"/>
                <xsd:element ref="ns2:Status_x0020_document"/>
                <xsd:element ref="ns2:Studie" minOccurs="0"/>
                <xsd:element ref="ns2:Studiejaar"/>
                <xsd:element ref="ns2:KTTM-Tracks" minOccurs="0"/>
                <xsd:element ref="ns2:Coursecod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844f3-484d-46a5-8d5d-b7eef178248f" elementFormDefault="qualified">
    <xsd:import namespace="http://schemas.microsoft.com/office/2006/documentManagement/types"/>
    <xsd:import namespace="http://schemas.microsoft.com/office/infopath/2007/PartnerControls"/>
    <xsd:element name="Categorie" ma:index="8" nillable="true" ma:displayName="Document Category" ma:internalName="Categorie" ma:requiredMultiChoice="true">
      <xsd:complexType>
        <xsd:complexContent>
          <xsd:extension base="dms:MultiChoice">
            <xsd:sequence>
              <xsd:element name="Value" maxOccurs="unbounded" minOccurs="0" nillable="true">
                <xsd:simpleType>
                  <xsd:restriction base="dms:Choice">
                    <xsd:enumeration value="All - Manuals"/>
                    <xsd:enumeration value="All - not defined"/>
                    <xsd:enumeration value="All - Process description"/>
                    <xsd:enumeration value="Confidential - Finance"/>
                    <xsd:enumeration value="Confidential - Staff"/>
                    <xsd:enumeration value="Education - BSc courses"/>
                    <xsd:enumeration value="Education - MSc courses"/>
                    <xsd:enumeration value="Education - Quality assurance / reports"/>
                    <xsd:enumeration value="Organisation - Accreditation &amp; visitation"/>
                    <xsd:enumeration value="Organisation - Facilities"/>
                    <xsd:enumeration value="Organisation - Projects"/>
                    <xsd:enumeration value="Organisation - Scheduling"/>
                    <xsd:enumeration value="Organisation - Structure"/>
                    <xsd:enumeration value="Organisation - Student related"/>
                    <xsd:enumeration value="Policy – Education"/>
                    <xsd:enumeration value="Policy - Education regulations"/>
                    <xsd:enumeration value="Policy - Institution and educational programmes"/>
                  </xsd:restriction>
                </xsd:simpleType>
              </xsd:element>
            </xsd:sequence>
          </xsd:extension>
        </xsd:complexContent>
      </xsd:complexType>
    </xsd:element>
    <xsd:element name="Status_x0020_document" ma:index="9" ma:displayName="Status document" ma:format="RadioButtons" ma:internalName="Status_x0020_document">
      <xsd:simpleType>
        <xsd:restriction base="dms:Choice">
          <xsd:enumeration value="Draft"/>
          <xsd:enumeration value="Final version"/>
          <xsd:enumeration value="Template"/>
        </xsd:restriction>
      </xsd:simpleType>
    </xsd:element>
    <xsd:element name="Studie" ma:index="10" nillable="true" ma:displayName="Education Programme" ma:internalName="Studie" ma:requiredMultiChoice="true">
      <xsd:complexType>
        <xsd:complexContent>
          <xsd:extension base="dms:MultiChoice">
            <xsd:sequence>
              <xsd:element name="Value" maxOccurs="unbounded" minOccurs="0" nillable="true">
                <xsd:simpleType>
                  <xsd:restriction base="dms:Choice">
                    <xsd:enumeration value="n.a."/>
                    <xsd:enumeration value="BSc"/>
                    <xsd:enumeration value="MSc"/>
                  </xsd:restriction>
                </xsd:simpleType>
              </xsd:element>
            </xsd:sequence>
          </xsd:extension>
        </xsd:complexContent>
      </xsd:complexType>
    </xsd:element>
    <xsd:element name="Studiejaar" ma:index="11" ma:displayName="Academic year" ma:format="RadioButtons" ma:internalName="Studiejaar">
      <xsd:simpleType>
        <xsd:restriction base="dms:Choice">
          <xsd:enumeration value="2014-15"/>
          <xsd:enumeration value="2015-16"/>
          <xsd:enumeration value="2016-17"/>
          <xsd:enumeration value="2017-18"/>
          <xsd:enumeration value="2018-19"/>
          <xsd:enumeration value="2019-20"/>
          <xsd:enumeration value="2020-21"/>
          <xsd:enumeration value="2021-22"/>
          <xsd:enumeration value="n.a."/>
        </xsd:restriction>
      </xsd:simpleType>
    </xsd:element>
    <xsd:element name="KTTM-Tracks" ma:index="12" nillable="true" ma:displayName="Track" ma:format="Dropdown" ma:internalName="KTTM_x002d_Tracks">
      <xsd:simpleType>
        <xsd:restriction base="dms:Choice">
          <xsd:enumeration value="I&amp;I"/>
          <xsd:enumeration value="S&amp;S"/>
        </xsd:restriction>
      </xsd:simpleType>
    </xsd:element>
    <xsd:element name="Coursecodes" ma:index="13" nillable="true" ma:displayName="Coursecodes" ma:internalName="Coursecodes">
      <xsd:complexType>
        <xsd:complexContent>
          <xsd:extension base="dms:MultiChoice">
            <xsd:sequence>
              <xsd:element name="Value" maxOccurs="unbounded" minOccurs="0" nillable="true">
                <xsd:simpleType>
                  <xsd:restriction base="dms:Choice">
                    <xsd:enumeration value="n.a."/>
                    <xsd:enumeration value="KT1101"/>
                    <xsd:enumeration value="KT1000WI"/>
                    <xsd:enumeration value="KT1301"/>
                    <xsd:enumeration value="KT1401"/>
                    <xsd:enumeration value="KT1501"/>
                    <xsd:enumeration value="KT1601"/>
                    <xsd:enumeration value="KT1701"/>
                    <xsd:enumeration value="KT1801"/>
                    <xsd:enumeration value="KT1901"/>
                    <xsd:enumeration value="KT1951"/>
                    <xsd:enumeration value="KT2101"/>
                    <xsd:enumeration value="KT2201"/>
                    <xsd:enumeration value="KT2301"/>
                    <xsd:enumeration value="KT2401"/>
                    <xsd:enumeration value="KT2501"/>
                    <xsd:enumeration value="KT2601"/>
                    <xsd:enumeration value="KT2700"/>
                    <xsd:enumeration value="KT2751"/>
                    <xsd:enumeration value="KT2801"/>
                    <xsd:enumeration value="KT2851"/>
                    <xsd:enumeration value="KT2901"/>
                    <xsd:enumeration value="KT2951"/>
                    <xsd:enumeration value="Minor"/>
                    <xsd:enumeration value="KT3301"/>
                    <xsd:enumeration value="KT3401"/>
                    <xsd:enumeration value="KT3501"/>
                    <xsd:enumeration value="KT3601"/>
                    <xsd:enumeration value="KT3701"/>
                    <xsd:enumeration value="KT3800"/>
                    <xsd:enumeration value="KT3900"/>
                    <xsd:enumeration value="KT3950"/>
                    <xsd:enumeration value="TM12001"/>
                    <xsd:enumeration value="TM12002"/>
                    <xsd:enumeration value="TM12003"/>
                    <xsd:enumeration value="TM12004"/>
                    <xsd:enumeration value="TM12005"/>
                    <xsd:enumeration value="TM12006"/>
                    <xsd:enumeration value="TM12007"/>
                    <xsd:enumeration value="TM11001"/>
                    <xsd:enumeration value="TM11002"/>
                    <xsd:enumeration value="TM11003"/>
                    <xsd:enumeration value="TM11004"/>
                    <xsd:enumeration value="TM11005"/>
                    <xsd:enumeration value="TM11006"/>
                    <xsd:enumeration value="TM11007"/>
                    <xsd:enumeration value="TM11008"/>
                    <xsd:enumeration value="TM10001"/>
                    <xsd:enumeration value="TM10002"/>
                    <xsd:enumeration value="TM10003"/>
                    <xsd:enumeration value="TM10004"/>
                    <xsd:enumeration value="TM10005"/>
                    <xsd:enumeration value="TM10006"/>
                    <xsd:enumeration value="TM20001"/>
                    <xsd:enumeration value="TM20002"/>
                    <xsd:enumeration value="TM20003"/>
                    <xsd:enumeration value="TM20004"/>
                    <xsd:enumeration value="TM20005"/>
                  </xsd:restrict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D0D437-71F9-4AB7-AFF2-04EAB033C7CB}">
  <ds:schemaRefs>
    <ds:schemaRef ds:uri="http://schemas.openxmlformats.org/package/2006/metadata/core-properties"/>
    <ds:schemaRef ds:uri="http://purl.org/dc/dcmitype/"/>
    <ds:schemaRef ds:uri="http://schemas.microsoft.com/office/2006/documentManagement/types"/>
    <ds:schemaRef ds:uri="http://www.w3.org/XML/1998/namespace"/>
    <ds:schemaRef ds:uri="http://schemas.microsoft.com/office/2006/metadata/properties"/>
    <ds:schemaRef ds:uri="http://purl.org/dc/terms/"/>
    <ds:schemaRef ds:uri="http://schemas.microsoft.com/office/infopath/2007/PartnerControls"/>
    <ds:schemaRef ds:uri="291bf8e8-dd1b-4b5e-b4a8-7061800c789c"/>
    <ds:schemaRef ds:uri="79f12cac-e32f-46a3-afcd-b29263165a41"/>
    <ds:schemaRef ds:uri="http://purl.org/dc/elements/1.1/"/>
  </ds:schemaRefs>
</ds:datastoreItem>
</file>

<file path=customXml/itemProps2.xml><?xml version="1.0" encoding="utf-8"?>
<ds:datastoreItem xmlns:ds="http://schemas.openxmlformats.org/officeDocument/2006/customXml" ds:itemID="{908DBDC5-4FA0-4145-B42C-948842123E9F}"/>
</file>

<file path=customXml/itemProps3.xml><?xml version="1.0" encoding="utf-8"?>
<ds:datastoreItem xmlns:ds="http://schemas.openxmlformats.org/officeDocument/2006/customXml" ds:itemID="{C6387D51-470F-4D59-BBF3-D4096515ADE5}">
  <ds:schemaRefs>
    <ds:schemaRef ds:uri="http://schemas.microsoft.com/sharepoint/v3/contenttype/forms"/>
  </ds:schemaRefs>
</ds:datastoreItem>
</file>

<file path=customXml/itemProps4.xml><?xml version="1.0" encoding="utf-8"?>
<ds:datastoreItem xmlns:ds="http://schemas.openxmlformats.org/officeDocument/2006/customXml" ds:itemID="{F625EDA4-E04E-4CA3-A1ED-C3E6E95E6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LDE-KT_doc-sjabloon</Template>
  <TotalTime>1</TotalTime>
  <Pages>18</Pages>
  <Words>5557</Words>
  <Characters>31679</Characters>
  <Application>Microsoft Office Word</Application>
  <DocSecurity>0</DocSecurity>
  <Lines>263</Lines>
  <Paragraphs>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TU Delft</Company>
  <LinksUpToDate>false</LinksUpToDate>
  <CharactersWithSpaces>37162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Gabrielle Tuijthof - 3ME</dc:creator>
  <cp:lastModifiedBy>Sven van Touw - 3ME</cp:lastModifiedBy>
  <cp:revision>2</cp:revision>
  <cp:lastPrinted>2013-12-23T13:52:00Z</cp:lastPrinted>
  <dcterms:created xsi:type="dcterms:W3CDTF">2016-07-08T07:16:00Z</dcterms:created>
  <dcterms:modified xsi:type="dcterms:W3CDTF">2016-07-08T07:16:00Z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0x010100436F100CADDF0A49A21796AA20FECD23</vt:lpwstr>
  </property>
</Properties>
</file>